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iagrams/colors1.xml" ContentType="application/vnd.openxmlformats-officedocument.drawingml.diagramColors+xml"/>
  <Override PartName="/word/diagrams/data1.xml" ContentType="application/vnd.openxmlformats-officedocument.drawingml.diagramData+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id w:val="-1890190118"/>
        <w:docPartObj>
          <w:docPartGallery w:val="AutoText"/>
        </w:docPartObj>
      </w:sdtPr>
      <w:sdtContent>
        <w:p>
          <w:r>
            <mc:AlternateContent>
              <mc:Choice Requires="wps">
                <w:drawing>
                  <wp:anchor distT="0" distB="0" distL="114300" distR="114300" simplePos="0" relativeHeight="251659264" behindDoc="0" locked="0" layoutInCell="1" allowOverlap="1">
                    <wp:simplePos x="0" y="0"/>
                    <mc:AlternateContent>
                      <mc:Choice Requires="wp14">
                        <wp:positionH relativeFrom="page">
                          <wp14:pctPosHOffset>2000</wp14:pctPosHOffset>
                        </wp:positionH>
                      </mc:Choice>
                      <mc:Fallback>
                        <wp:positionH relativeFrom="page">
                          <wp:posOffset>151130</wp:posOffset>
                        </wp:positionH>
                      </mc:Fallback>
                    </mc:AlternateContent>
                    <mc:AlternateContent>
                      <mc:Choice Requires="wp14">
                        <wp:positionV relativeFrom="page">
                          <wp14:pctPosVOffset>2000</wp14:pctPosVOffset>
                        </wp:positionV>
                      </mc:Choice>
                      <mc:Fallback>
                        <wp:positionV relativeFrom="page">
                          <wp:posOffset>213360</wp:posOffset>
                        </wp:positionV>
                      </mc:Fallback>
                    </mc:AlternateContent>
                    <wp:extent cx="5363210" cy="9653270"/>
                    <wp:effectExtent l="0" t="0" r="8890" b="11430"/>
                    <wp:wrapNone/>
                    <wp:docPr id="4" name="矩形 16"/>
                    <wp:cNvGraphicFramePr/>
                    <a:graphic xmlns:a="http://schemas.openxmlformats.org/drawingml/2006/main">
                      <a:graphicData uri="http://schemas.microsoft.com/office/word/2010/wordprocessingShape">
                        <wps:wsp>
                          <wps:cNvSpPr/>
                          <wps:spPr>
                            <a:xfrm>
                              <a:off x="0" y="0"/>
                              <a:ext cx="5363210" cy="9653270"/>
                            </a:xfrm>
                            <a:prstGeom prst="rect">
                              <a:avLst/>
                            </a:prstGeom>
                            <a:solidFill>
                              <a:srgbClr val="FFC000"/>
                            </a:solidFill>
                            <a:ln>
                              <a:noFill/>
                            </a:ln>
                          </wps:spPr>
                          <wps:txbx>
                            <w:txbxContent>
                              <w:sdt>
                                <w:sdtPr>
                                  <w:rPr>
                                    <w:caps w:val="0"/>
                                    <w:color w:val="002060"/>
                                    <w:sz w:val="80"/>
                                    <w:szCs w:val="80"/>
                                  </w:rPr>
                                  <w:alias w:val="标题"/>
                                  <w:id w:val="-1275550102"/>
                                  <w:dataBinding w:prefixMappings="xmlns:ns0='http://schemas.openxmlformats.org/package/2006/metadata/core-properties' xmlns:ns1='http://purl.org/dc/elements/1.1/'" w:xpath="/ns0:coreProperties[1]/ns1:title[1]" w:storeItemID="{6C3C8BC8-F283-45AE-878A-BAB7291924A1}"/>
                                  <w:text/>
                                </w:sdtPr>
                                <w:sdtEndPr>
                                  <w:rPr>
                                    <w:caps w:val="0"/>
                                    <w:color w:val="002060"/>
                                    <w:sz w:val="80"/>
                                    <w:szCs w:val="80"/>
                                  </w:rPr>
                                </w:sdtEndPr>
                                <w:sdtContent>
                                  <w:p>
                                    <w:pPr>
                                      <w:pStyle w:val="20"/>
                                      <w:jc w:val="right"/>
                                      <w:rPr>
                                        <w:caps w:val="0"/>
                                        <w:color w:val="FFFFFF" w:themeColor="background1"/>
                                        <w:sz w:val="80"/>
                                        <w:szCs w:val="80"/>
                                      </w:rPr>
                                    </w:pPr>
                                    <w:r>
                                      <w:rPr>
                                        <w:caps w:val="0"/>
                                        <w:color w:val="002060"/>
                                        <w:sz w:val="80"/>
                                        <w:szCs w:val="80"/>
                                      </w:rPr>
                                      <w:t>官渡区图书馆</w:t>
                                    </w:r>
                                  </w:p>
                                </w:sdtContent>
                              </w:sdt>
                              <w:p>
                                <w:pPr>
                                  <w:spacing w:before="240"/>
                                  <w:ind w:left="720"/>
                                  <w:jc w:val="right"/>
                                  <w:rPr>
                                    <w:color w:val="FFFFFF" w:themeColor="background1"/>
                                  </w:rPr>
                                </w:pPr>
                              </w:p>
                              <w:sdt>
                                <w:sdtPr>
                                  <w:rPr>
                                    <w:color w:val="002060"/>
                                    <w:sz w:val="72"/>
                                  </w:rPr>
                                  <w:alias w:val="摘要"/>
                                  <w:id w:val="-1812170092"/>
                                  <w:dataBinding w:prefixMappings="xmlns:ns0='http://schemas.microsoft.com/office/2006/coverPageProps'" w:xpath="/ns0:CoverPageProperties[1]/ns0:Abstract[1]" w:storeItemID="{55AF091B-3C7A-41E3-B477-F2FDAA23CFDA}"/>
                                  <w:text/>
                                </w:sdtPr>
                                <w:sdtEndPr>
                                  <w:rPr>
                                    <w:color w:val="002060"/>
                                    <w:sz w:val="72"/>
                                  </w:rPr>
                                </w:sdtEndPr>
                                <w:sdtContent>
                                  <w:p>
                                    <w:pPr>
                                      <w:spacing w:before="240"/>
                                      <w:ind w:left="1008"/>
                                      <w:jc w:val="right"/>
                                      <w:rPr>
                                        <w:color w:val="002060"/>
                                        <w:sz w:val="72"/>
                                      </w:rPr>
                                    </w:pPr>
                                    <w:r>
                                      <w:rPr>
                                        <w:rFonts w:hint="eastAsia"/>
                                        <w:color w:val="002060"/>
                                        <w:sz w:val="72"/>
                                        <w:lang w:eastAsia="zh-CN"/>
                                      </w:rPr>
                                      <w:t>2018年年报</w:t>
                                    </w:r>
                                  </w:p>
                                </w:sdtContent>
                              </w:sdt>
                            </w:txbxContent>
                          </wps:txbx>
                          <wps:bodyPr lIns="274320" tIns="914400" rIns="274320" anchor="ctr" anchorCtr="0" upright="1"/>
                        </wps:wsp>
                      </a:graphicData>
                    </a:graphic>
                    <wp14:sizeRelH relativeFrom="page">
                      <wp14:pctWidth>69000</wp14:pctWidth>
                    </wp14:sizeRelH>
                    <wp14:sizeRelV relativeFrom="page">
                      <wp14:pctHeight>96000</wp14:pctHeight>
                    </wp14:sizeRelV>
                  </wp:anchor>
                </w:drawing>
              </mc:Choice>
              <mc:Fallback>
                <w:pict>
                  <v:rect id="矩形 16" o:spid="_x0000_s1026" o:spt="1" style="position:absolute;left:0pt;margin-left:11.9pt;margin-top:16.8pt;height:760.1pt;width:422.3pt;mso-position-horizontal-relative:page;mso-position-vertical-relative:page;z-index:251659264;v-text-anchor:middle;mso-width-relative:page;mso-height-relative:page;mso-width-percent:690;mso-height-percent:960;" fillcolor="#FFC000" filled="t"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">
                    <v:fill on="t" focussize="0,0"/>
                    <v:stroke on="f"/>
                    <v:imagedata o:title=""/>
                    <o:lock v:ext="edit" aspectratio="f"/>
                    <v:textbox inset="7.62mm,25.4mm,7.62mm,1.27mm">
                      <w:txbxContent>
                        <w:sdt>
                          <w:sdtPr>
                            <w:rPr>
                              <w:caps w:val="0"/>
                              <w:color w:val="002060"/>
                              <w:sz w:val="80"/>
                              <w:szCs w:val="80"/>
                            </w:rPr>
                            <w:alias w:val="标题"/>
                            <w:id w:val="-1275550102"/>
                            <w:dataBinding w:prefixMappings="xmlns:ns0='http://schemas.openxmlformats.org/package/2006/metadata/core-properties' xmlns:ns1='http://purl.org/dc/elements/1.1/'" w:xpath="/ns0:coreProperties[1]/ns1:title[1]" w:storeItemID="{6C3C8BC8-F283-45AE-878A-BAB7291924A1}"/>
                            <w:text/>
                          </w:sdtPr>
                          <w:sdtEndPr>
                            <w:rPr>
                              <w:caps w:val="0"/>
                              <w:color w:val="002060"/>
                              <w:sz w:val="80"/>
                              <w:szCs w:val="80"/>
                            </w:rPr>
                          </w:sdtEndPr>
                          <w:sdtContent>
                            <w:p>
                              <w:pPr>
                                <w:pStyle w:val="20"/>
                                <w:jc w:val="right"/>
                                <w:rPr>
                                  <w:caps w:val="0"/>
                                  <w:color w:val="FFFFFF" w:themeColor="background1"/>
                                  <w:sz w:val="80"/>
                                  <w:szCs w:val="80"/>
                                </w:rPr>
                              </w:pPr>
                              <w:r>
                                <w:rPr>
                                  <w:caps w:val="0"/>
                                  <w:color w:val="002060"/>
                                  <w:sz w:val="80"/>
                                  <w:szCs w:val="80"/>
                                </w:rPr>
                                <w:t>官渡区图书馆</w:t>
                              </w:r>
                            </w:p>
                          </w:sdtContent>
                        </w:sdt>
                        <w:p>
                          <w:pPr>
                            <w:spacing w:before="240"/>
                            <w:ind w:left="720"/>
                            <w:jc w:val="right"/>
                            <w:rPr>
                              <w:color w:val="FFFFFF" w:themeColor="background1"/>
                            </w:rPr>
                          </w:pPr>
                        </w:p>
                        <w:sdt>
                          <w:sdtPr>
                            <w:rPr>
                              <w:color w:val="002060"/>
                              <w:sz w:val="72"/>
                            </w:rPr>
                            <w:alias w:val="摘要"/>
                            <w:id w:val="-1812170092"/>
                            <w:dataBinding w:prefixMappings="xmlns:ns0='http://schemas.microsoft.com/office/2006/coverPageProps'" w:xpath="/ns0:CoverPageProperties[1]/ns0:Abstract[1]" w:storeItemID="{55AF091B-3C7A-41E3-B477-F2FDAA23CFDA}"/>
                            <w:text/>
                          </w:sdtPr>
                          <w:sdtEndPr>
                            <w:rPr>
                              <w:color w:val="002060"/>
                              <w:sz w:val="72"/>
                            </w:rPr>
                          </w:sdtEndPr>
                          <w:sdtContent>
                            <w:p>
                              <w:pPr>
                                <w:spacing w:before="240"/>
                                <w:ind w:left="1008"/>
                                <w:jc w:val="right"/>
                                <w:rPr>
                                  <w:color w:val="002060"/>
                                  <w:sz w:val="72"/>
                                </w:rPr>
                              </w:pPr>
                              <w:r>
                                <w:rPr>
                                  <w:rFonts w:hint="eastAsia"/>
                                  <w:color w:val="002060"/>
                                  <w:sz w:val="72"/>
                                  <w:lang w:eastAsia="zh-CN"/>
                                </w:rPr>
                                <w:t>2018年年报</w:t>
                              </w:r>
                            </w:p>
                          </w:sdtContent>
                        </w:sdt>
                      </w:txbxContent>
                    </v:textbox>
                  </v:rect>
                </w:pict>
              </mc:Fallback>
            </mc:AlternateContent>
          </w:r>
          <w:r>
            <mc:AlternateContent>
              <mc:Choice Requires="wps">
                <w:drawing>
                  <wp:anchor distT="0" distB="0" distL="114300" distR="114300" simplePos="0" relativeHeight="251660288" behindDoc="0" locked="0" layoutInCell="1" allowOverlap="1">
                    <wp:simplePos x="0" y="0"/>
                    <mc:AlternateContent>
                      <mc:Choice Requires="wp14">
                        <wp:positionH relativeFrom="page">
                          <wp14:pctPosHOffset>73000</wp14:pctPosHOffset>
                        </wp:positionH>
                      </mc:Choice>
                      <mc:Fallback>
                        <wp:positionH relativeFrom="page">
                          <wp:posOffset>5518785</wp:posOffset>
                        </wp:positionH>
                      </mc:Fallback>
                    </mc:AlternateContent>
                    <wp:positionV relativeFrom="page">
                      <wp:align>center</wp:align>
                    </wp:positionV>
                    <wp:extent cx="1880870" cy="9655810"/>
                    <wp:effectExtent l="0" t="0" r="11430" b="8890"/>
                    <wp:wrapNone/>
                    <wp:docPr id="5" name="矩形 472"/>
                    <wp:cNvGraphicFramePr/>
                    <a:graphic xmlns:a="http://schemas.openxmlformats.org/drawingml/2006/main">
                      <a:graphicData uri="http://schemas.microsoft.com/office/word/2010/wordprocessingShape">
                        <wps:wsp>
                          <wps:cNvSpPr/>
                          <wps:spPr>
                            <a:xfrm>
                              <a:off x="0" y="0"/>
                              <a:ext cx="1880870" cy="9655810"/>
                            </a:xfrm>
                            <a:prstGeom prst="rect">
                              <a:avLst/>
                            </a:prstGeom>
                            <a:solidFill>
                              <a:srgbClr val="099BDD"/>
                            </a:solidFill>
                            <a:ln w="12700">
                              <a:noFill/>
                            </a:ln>
                          </wps:spPr>
                          <wps:txbx>
                            <w:txbxContent>
                              <w:sdt>
                                <w:sdtPr>
                                  <w:rPr>
                                    <w:color w:val="002060"/>
                                    <w:sz w:val="36"/>
                                  </w:rPr>
                                  <w:alias w:val="副标题"/>
                                  <w:id w:val="-505288762"/>
                                  <w:showingPlcHdr/>
                                  <w:dataBinding w:prefixMappings="xmlns:ns0='http://schemas.openxmlformats.org/package/2006/metadata/core-properties' xmlns:ns1='http://purl.org/dc/elements/1.1/'" w:xpath="/ns0:coreProperties[1]/ns1:subject[1]" w:storeItemID="{6C3C8BC8-F283-45AE-878A-BAB7291924A1}"/>
                                  <w:text/>
                                </w:sdtPr>
                                <w:sdtEndPr>
                                  <w:rPr>
                                    <w:color w:val="002060"/>
                                    <w:sz w:val="36"/>
                                  </w:rPr>
                                </w:sdtEndPr>
                                <w:sdtContent>
                                  <w:p>
                                    <w:pPr>
                                      <w:pStyle w:val="17"/>
                                      <w:rPr>
                                        <w:color w:val="002060"/>
                                        <w:sz w:val="36"/>
                                      </w:rPr>
                                    </w:pPr>
                                    <w:r>
                                      <w:rPr>
                                        <w:color w:val="002060"/>
                                        <w:sz w:val="36"/>
                                      </w:rPr>
                                      <w:t xml:space="preserve">     </w:t>
                                    </w:r>
                                  </w:p>
                                </w:sdtContent>
                              </w:sdt>
                            </w:txbxContent>
                          </wps:txbx>
                          <wps:bodyPr lIns="182880" rIns="182880" anchor="ctr" anchorCtr="0" upright="1"/>
                        </wps:wsp>
                      </a:graphicData>
                    </a:graphic>
                    <wp14:sizeRelH relativeFrom="page">
                      <wp14:pctWidth>24200</wp14:pctWidth>
                    </wp14:sizeRelH>
                    <wp14:sizeRelV relativeFrom="page">
                      <wp14:pctHeight>96000</wp14:pctHeight>
                    </wp14:sizeRelV>
                  </wp:anchor>
                </w:drawing>
              </mc:Choice>
              <mc:Fallback>
                <w:pict>
                  <v:rect id="矩形 472" o:spid="_x0000_s1026" o:spt="1" style="position:absolute;left:0pt;margin-left:434.55pt;margin-top:16.85pt;height:760.3pt;width:148.1pt;mso-position-horizontal-relative:page;mso-position-vertical-relative:page;z-index:251660288;v-text-anchor:middle;mso-width-relative:page;mso-height-relative:page;mso-width-percent:242;mso-height-percent:960;" fillcolor="#099BDD" filled="t"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">
                    <v:fill on="t" focussize="0,0"/>
                    <v:stroke on="f" weight="1pt"/>
                    <v:imagedata o:title=""/>
                    <o:lock v:ext="edit" aspectratio="f"/>
                    <v:textbox inset="5.08mm,1.27mm,5.08mm,1.27mm">
                      <w:txbxContent>
                        <w:sdt>
                          <w:sdtPr>
                            <w:rPr>
                              <w:color w:val="002060"/>
                              <w:sz w:val="36"/>
                            </w:rPr>
                            <w:alias w:val="副标题"/>
                            <w:id w:val="-505288762"/>
                            <w:showingPlcHdr/>
                            <w:dataBinding w:prefixMappings="xmlns:ns0='http://schemas.openxmlformats.org/package/2006/metadata/core-properties' xmlns:ns1='http://purl.org/dc/elements/1.1/'" w:xpath="/ns0:coreProperties[1]/ns1:subject[1]" w:storeItemID="{6C3C8BC8-F283-45AE-878A-BAB7291924A1}"/>
                            <w:text/>
                          </w:sdtPr>
                          <w:sdtEndPr>
                            <w:rPr>
                              <w:color w:val="002060"/>
                              <w:sz w:val="36"/>
                            </w:rPr>
                          </w:sdtEndPr>
                          <w:sdtContent>
                            <w:p>
                              <w:pPr>
                                <w:pStyle w:val="17"/>
                                <w:rPr>
                                  <w:color w:val="002060"/>
                                  <w:sz w:val="36"/>
                                </w:rPr>
                              </w:pPr>
                              <w:r>
                                <w:rPr>
                                  <w:color w:val="002060"/>
                                  <w:sz w:val="36"/>
                                </w:rPr>
                                <w:t xml:space="preserve">     </w:t>
                              </w:r>
                            </w:p>
                          </w:sdtContent>
                        </w:sdt>
                      </w:txbxContent>
                    </v:textbox>
                  </v:rect>
                </w:pict>
              </mc:Fallback>
            </mc:AlternateContent>
          </w:r>
        </w:p>
        <w:p/>
        <w:p>
          <w:r>
            <w:br w:type="page"/>
          </w:r>
        </w:p>
      </w:sdtContent>
    </w:sdt>
    <w:p>
      <w:pPr>
        <w:rPr>
          <w:rFonts w:asciiTheme="majorHAnsi" w:hAnsiTheme="majorHAnsi" w:eastAsiaTheme="majorEastAsia" w:cstheme="majorBidi"/>
          <w:color w:val="BE8F00" w:themeColor="accent1" w:themeShade="BF"/>
          <w:sz w:val="40"/>
          <w:szCs w:val="40"/>
        </w:rPr>
      </w:pPr>
    </w:p>
    <w:sdt>
      <w:sdtPr>
        <w:rPr>
          <w:rFonts w:asciiTheme="minorHAnsi" w:hAnsiTheme="minorHAnsi" w:eastAsiaTheme="minorEastAsia" w:cstheme="minorBidi"/>
          <w:color w:val="auto"/>
          <w:sz w:val="21"/>
          <w:szCs w:val="21"/>
          <w:lang w:val="zh-CN"/>
        </w:rPr>
        <w:id w:val="-1210955083"/>
        <w:docPartObj>
          <w:docPartGallery w:val="Table of Contents"/>
          <w:docPartUnique/>
        </w:docPartObj>
      </w:sdtPr>
      <w:sdtEndPr>
        <w:rPr>
          <w:rFonts w:asciiTheme="minorHAnsi" w:hAnsiTheme="minorHAnsi" w:eastAsiaTheme="minorEastAsia" w:cstheme="minorBidi"/>
          <w:b/>
          <w:bCs/>
          <w:color w:val="auto"/>
          <w:sz w:val="21"/>
          <w:szCs w:val="21"/>
          <w:lang w:val="zh-CN"/>
        </w:rPr>
      </w:sdtEndPr>
      <w:sdtContent>
        <w:p>
          <w:pPr>
            <w:pStyle w:val="49"/>
          </w:pPr>
          <w:r>
            <w:rPr>
              <w:lang w:val="zh-CN"/>
            </w:rPr>
            <w:t>目录</w:t>
          </w:r>
        </w:p>
        <w:p>
          <w:pPr>
            <w:pStyle w:val="16"/>
            <w:tabs>
              <w:tab w:val="right" w:leader="dot" w:pos="8296"/>
            </w:tabs>
            <w:rPr>
              <w:kern w:val="2"/>
              <w:szCs w:val="22"/>
            </w:rPr>
          </w:pPr>
          <w:r>
            <w:fldChar w:fldCharType="begin"/>
          </w:r>
          <w:r>
            <w:instrText xml:space="preserve"> TOC \o "1-3" \h \z \u </w:instrText>
          </w:r>
          <w:r>
            <w:fldChar w:fldCharType="separate"/>
          </w:r>
          <w:r>
            <w:fldChar w:fldCharType="begin"/>
          </w:r>
          <w:r>
            <w:instrText xml:space="preserve"> HYPERLINK \l "_Toc108763465" </w:instrText>
          </w:r>
          <w:r>
            <w:fldChar w:fldCharType="separate"/>
          </w:r>
          <w:r>
            <w:rPr>
              <w:rStyle w:val="27"/>
            </w:rPr>
            <w:t>一、全年工作概述</w:t>
          </w:r>
          <w:r>
            <w:tab/>
          </w:r>
          <w:r>
            <w:fldChar w:fldCharType="begin"/>
          </w:r>
          <w:r>
            <w:instrText xml:space="preserve"> PAGEREF _Toc108763465 \h </w:instrText>
          </w:r>
          <w:r>
            <w:fldChar w:fldCharType="separate"/>
          </w:r>
          <w:r>
            <w:t>2</w:t>
          </w:r>
          <w:r>
            <w:fldChar w:fldCharType="end"/>
          </w:r>
          <w:r>
            <w:fldChar w:fldCharType="end"/>
          </w:r>
        </w:p>
        <w:p>
          <w:pPr>
            <w:pStyle w:val="18"/>
            <w:tabs>
              <w:tab w:val="right" w:leader="dot" w:pos="8296"/>
            </w:tabs>
            <w:rPr>
              <w:kern w:val="2"/>
              <w:szCs w:val="22"/>
            </w:rPr>
          </w:pPr>
          <w:r>
            <w:fldChar w:fldCharType="begin"/>
          </w:r>
          <w:r>
            <w:instrText xml:space="preserve"> HYPERLINK \l "_Toc108763466" </w:instrText>
          </w:r>
          <w:r>
            <w:fldChar w:fldCharType="separate"/>
          </w:r>
          <w:r>
            <w:rPr>
              <w:rStyle w:val="27"/>
              <w:b/>
            </w:rPr>
            <w:t>1.1 馆内简介</w:t>
          </w:r>
          <w:r>
            <w:tab/>
          </w:r>
          <w:r>
            <w:fldChar w:fldCharType="begin"/>
          </w:r>
          <w:r>
            <w:instrText xml:space="preserve"> PAGEREF _Toc108763466 \h </w:instrText>
          </w:r>
          <w:r>
            <w:fldChar w:fldCharType="separate"/>
          </w:r>
          <w:r>
            <w:t>2</w:t>
          </w:r>
          <w:r>
            <w:fldChar w:fldCharType="end"/>
          </w:r>
          <w:r>
            <w:fldChar w:fldCharType="end"/>
          </w:r>
        </w:p>
        <w:p>
          <w:pPr>
            <w:pStyle w:val="18"/>
            <w:tabs>
              <w:tab w:val="right" w:leader="dot" w:pos="8296"/>
            </w:tabs>
            <w:rPr>
              <w:kern w:val="2"/>
              <w:szCs w:val="22"/>
            </w:rPr>
          </w:pPr>
          <w:r>
            <w:fldChar w:fldCharType="begin"/>
          </w:r>
          <w:r>
            <w:instrText xml:space="preserve"> HYPERLINK \l "_Toc108763467" </w:instrText>
          </w:r>
          <w:r>
            <w:fldChar w:fldCharType="separate"/>
          </w:r>
          <w:r>
            <w:rPr>
              <w:rStyle w:val="27"/>
              <w:b/>
            </w:rPr>
            <w:t>1.2 工作总结</w:t>
          </w:r>
          <w:r>
            <w:tab/>
          </w:r>
          <w:r>
            <w:rPr>
              <w:rFonts w:hint="eastAsia"/>
              <w:lang w:val="en-US" w:eastAsia="zh-CN"/>
            </w:rPr>
            <w:t>13</w:t>
          </w:r>
          <w:r>
            <w:fldChar w:fldCharType="end"/>
          </w:r>
        </w:p>
        <w:p>
          <w:pPr>
            <w:pStyle w:val="16"/>
            <w:tabs>
              <w:tab w:val="right" w:leader="dot" w:pos="8296"/>
            </w:tabs>
            <w:rPr>
              <w:rFonts w:hint="eastAsia" w:eastAsiaTheme="minorEastAsia"/>
              <w:kern w:val="2"/>
              <w:szCs w:val="22"/>
              <w:lang w:val="en-US" w:eastAsia="zh-CN"/>
            </w:rPr>
          </w:pPr>
          <w:r>
            <w:fldChar w:fldCharType="begin"/>
          </w:r>
          <w:r>
            <w:instrText xml:space="preserve"> HYPERLINK \l "_Toc108763468" </w:instrText>
          </w:r>
          <w:r>
            <w:fldChar w:fldCharType="separate"/>
          </w:r>
          <w:r>
            <w:rPr>
              <w:rStyle w:val="27"/>
            </w:rPr>
            <w:t>二、相关</w:t>
          </w:r>
          <w:r>
            <w:rPr>
              <w:rStyle w:val="27"/>
              <w:rFonts w:hint="eastAsia"/>
              <w:lang w:eastAsia="zh-CN"/>
            </w:rPr>
            <w:t>业务</w:t>
          </w:r>
          <w:r>
            <w:rPr>
              <w:rStyle w:val="27"/>
            </w:rPr>
            <w:t>数据</w:t>
          </w:r>
          <w:r>
            <w:tab/>
          </w:r>
          <w:r>
            <w:rPr>
              <w:rFonts w:hint="eastAsia"/>
              <w:lang w:val="en-US" w:eastAsia="zh-CN"/>
            </w:rPr>
            <w:t>1</w:t>
          </w:r>
          <w:r>
            <w:fldChar w:fldCharType="end"/>
          </w:r>
          <w:r>
            <w:rPr>
              <w:rFonts w:hint="eastAsia"/>
              <w:lang w:val="en-US" w:eastAsia="zh-CN"/>
            </w:rPr>
            <w:t>3</w:t>
          </w:r>
        </w:p>
        <w:p>
          <w:pPr>
            <w:pStyle w:val="16"/>
            <w:tabs>
              <w:tab w:val="right" w:leader="dot" w:pos="8296"/>
            </w:tabs>
            <w:rPr>
              <w:rFonts w:hint="eastAsia" w:eastAsiaTheme="minorEastAsia"/>
              <w:kern w:val="2"/>
              <w:szCs w:val="22"/>
              <w:lang w:val="en-US" w:eastAsia="zh-CN"/>
            </w:rPr>
          </w:pPr>
          <w:r>
            <w:fldChar w:fldCharType="begin"/>
          </w:r>
          <w:r>
            <w:instrText xml:space="preserve"> HYPERLINK \l "_Toc108763472" </w:instrText>
          </w:r>
          <w:r>
            <w:fldChar w:fldCharType="separate"/>
          </w:r>
          <w:r>
            <w:rPr>
              <w:rStyle w:val="27"/>
              <w:rFonts w:hint="eastAsia"/>
              <w:lang w:eastAsia="zh-CN"/>
            </w:rPr>
            <w:t>三</w:t>
          </w:r>
          <w:r>
            <w:rPr>
              <w:rStyle w:val="27"/>
            </w:rPr>
            <w:t>、图书馆部门组织</w:t>
          </w:r>
          <w:r>
            <w:tab/>
          </w:r>
          <w:r>
            <w:rPr>
              <w:rFonts w:hint="eastAsia"/>
              <w:lang w:val="en-US" w:eastAsia="zh-CN"/>
            </w:rPr>
            <w:t>1</w:t>
          </w:r>
          <w:r>
            <w:fldChar w:fldCharType="end"/>
          </w:r>
          <w:r>
            <w:rPr>
              <w:rFonts w:hint="eastAsia"/>
              <w:lang w:val="en-US" w:eastAsia="zh-CN"/>
            </w:rPr>
            <w:t>4</w:t>
          </w:r>
        </w:p>
        <w:p>
          <w:pPr>
            <w:pStyle w:val="18"/>
            <w:tabs>
              <w:tab w:val="right" w:leader="dot" w:pos="8296"/>
            </w:tabs>
            <w:rPr>
              <w:rFonts w:hint="eastAsia" w:eastAsiaTheme="minorEastAsia"/>
              <w:kern w:val="2"/>
              <w:szCs w:val="22"/>
              <w:lang w:val="en-US" w:eastAsia="zh-CN"/>
            </w:rPr>
          </w:pPr>
          <w:r>
            <w:fldChar w:fldCharType="begin"/>
          </w:r>
          <w:r>
            <w:instrText xml:space="preserve"> HYPERLINK \l "_Toc108763473" </w:instrText>
          </w:r>
          <w:r>
            <w:fldChar w:fldCharType="separate"/>
          </w:r>
          <w:r>
            <w:rPr>
              <w:rStyle w:val="27"/>
              <w:b/>
            </w:rPr>
            <w:t xml:space="preserve"> 图书馆部门简介</w:t>
          </w:r>
          <w:r>
            <w:tab/>
          </w:r>
          <w:r>
            <w:rPr>
              <w:rFonts w:hint="eastAsia"/>
              <w:lang w:val="en-US" w:eastAsia="zh-CN"/>
            </w:rPr>
            <w:t>1</w:t>
          </w:r>
          <w:r>
            <w:fldChar w:fldCharType="end"/>
          </w:r>
          <w:r>
            <w:rPr>
              <w:rFonts w:hint="eastAsia"/>
              <w:lang w:val="en-US" w:eastAsia="zh-CN"/>
            </w:rPr>
            <w:t>4</w:t>
          </w:r>
        </w:p>
        <w:p>
          <w:pPr>
            <w:pStyle w:val="16"/>
            <w:tabs>
              <w:tab w:val="right" w:leader="dot" w:pos="8296"/>
            </w:tabs>
            <w:rPr>
              <w:rFonts w:hint="eastAsia" w:eastAsiaTheme="minorEastAsia"/>
              <w:lang w:val="en-US" w:eastAsia="zh-CN"/>
            </w:rPr>
          </w:pPr>
          <w:r>
            <w:fldChar w:fldCharType="begin"/>
          </w:r>
          <w:r>
            <w:instrText xml:space="preserve"> HYPERLINK \l "_Toc108763477" </w:instrText>
          </w:r>
          <w:r>
            <w:fldChar w:fldCharType="separate"/>
          </w:r>
          <w:r>
            <w:rPr>
              <w:rStyle w:val="27"/>
              <w:rFonts w:hint="eastAsia"/>
              <w:lang w:eastAsia="zh-CN"/>
            </w:rPr>
            <w:t>四</w:t>
          </w:r>
          <w:r>
            <w:rPr>
              <w:rStyle w:val="27"/>
            </w:rPr>
            <w:t>、网站和自媒体建设</w:t>
          </w:r>
          <w:r>
            <w:tab/>
          </w:r>
          <w:r>
            <w:rPr>
              <w:rFonts w:hint="eastAsia"/>
              <w:lang w:val="en-US" w:eastAsia="zh-CN"/>
            </w:rPr>
            <w:t>1</w:t>
          </w:r>
          <w:r>
            <w:fldChar w:fldCharType="end"/>
          </w:r>
          <w:r>
            <w:rPr>
              <w:rFonts w:hint="eastAsia"/>
              <w:lang w:val="en-US" w:eastAsia="zh-CN"/>
            </w:rPr>
            <w:t>5</w:t>
          </w:r>
        </w:p>
        <w:p>
          <w:pPr>
            <w:pStyle w:val="16"/>
            <w:tabs>
              <w:tab w:val="right" w:leader="dot" w:pos="8296"/>
            </w:tabs>
            <w:rPr>
              <w:rFonts w:hint="eastAsia" w:eastAsiaTheme="minorEastAsia"/>
              <w:kern w:val="2"/>
              <w:szCs w:val="22"/>
              <w:lang w:val="en-US" w:eastAsia="zh-CN"/>
            </w:rPr>
          </w:pPr>
          <w:r>
            <w:fldChar w:fldCharType="begin"/>
          </w:r>
          <w:r>
            <w:instrText xml:space="preserve"> HYPERLINK \l "_Toc108763478" </w:instrText>
          </w:r>
          <w:r>
            <w:fldChar w:fldCharType="separate"/>
          </w:r>
          <w:r>
            <w:rPr>
              <w:rStyle w:val="27"/>
              <w:rFonts w:hint="eastAsia"/>
              <w:lang w:eastAsia="zh-CN"/>
            </w:rPr>
            <w:t>五</w:t>
          </w:r>
          <w:r>
            <w:rPr>
              <w:rStyle w:val="27"/>
            </w:rPr>
            <w:t>、20</w:t>
          </w:r>
          <w:r>
            <w:rPr>
              <w:rStyle w:val="27"/>
              <w:rFonts w:hint="eastAsia"/>
              <w:lang w:val="en-US" w:eastAsia="zh-CN"/>
            </w:rPr>
            <w:t>19</w:t>
          </w:r>
          <w:r>
            <w:rPr>
              <w:rStyle w:val="27"/>
            </w:rPr>
            <w:t>年度计划</w:t>
          </w:r>
          <w:r>
            <w:tab/>
          </w:r>
          <w:r>
            <w:rPr>
              <w:rFonts w:hint="eastAsia"/>
              <w:lang w:val="en-US" w:eastAsia="zh-CN"/>
            </w:rPr>
            <w:t>1</w:t>
          </w:r>
          <w:r>
            <w:fldChar w:fldCharType="end"/>
          </w:r>
          <w:r>
            <w:rPr>
              <w:rFonts w:hint="eastAsia"/>
              <w:lang w:val="en-US" w:eastAsia="zh-CN"/>
            </w:rPr>
            <w:t>9</w:t>
          </w:r>
        </w:p>
        <w:p>
          <w:r>
            <w:rPr>
              <w:b/>
              <w:bCs/>
              <w:lang w:val="zh-CN"/>
            </w:rPr>
            <w:fldChar w:fldCharType="end"/>
          </w:r>
        </w:p>
      </w:sdtContent>
    </w:sdt>
    <w:p>
      <w:pPr>
        <w:rPr>
          <w:rFonts w:asciiTheme="majorHAnsi" w:hAnsiTheme="majorHAnsi" w:eastAsiaTheme="majorEastAsia" w:cstheme="majorBidi"/>
          <w:color w:val="BE8F00" w:themeColor="accent1" w:themeShade="BF"/>
          <w:sz w:val="40"/>
          <w:szCs w:val="40"/>
        </w:rPr>
      </w:pPr>
      <w:r>
        <w:rPr>
          <w:rFonts w:asciiTheme="majorHAnsi" w:hAnsiTheme="majorHAnsi" w:eastAsiaTheme="majorEastAsia" w:cstheme="majorBidi"/>
          <w:color w:val="BE8F00" w:themeColor="accent1" w:themeShade="BF"/>
          <w:sz w:val="40"/>
          <w:szCs w:val="40"/>
        </w:rPr>
        <w:br w:type="page"/>
      </w:r>
      <w:bookmarkStart w:id="7" w:name="_GoBack"/>
      <w:bookmarkEnd w:id="7"/>
    </w:p>
    <w:p>
      <w:pPr>
        <w:pStyle w:val="2"/>
        <w:jc w:val="left"/>
      </w:pPr>
      <w:bookmarkStart w:id="0" w:name="_Toc108763465"/>
      <w:r>
        <w:rPr>
          <w:rFonts w:hint="eastAsia"/>
        </w:rPr>
        <w:t>一、全年工作概述</w:t>
      </w:r>
      <w:bookmarkEnd w:id="0"/>
    </w:p>
    <w:p>
      <w:pPr>
        <w:pStyle w:val="3"/>
        <w:jc w:val="left"/>
        <w:rPr>
          <w:b/>
        </w:rPr>
      </w:pPr>
      <w:bookmarkStart w:id="1" w:name="_Toc108763466"/>
      <w:r>
        <w:rPr>
          <w:b/>
        </w:rPr>
        <w:t xml:space="preserve">1.1 </w:t>
      </w:r>
      <w:r>
        <w:rPr>
          <w:rFonts w:hint="eastAsia"/>
          <w:b/>
        </w:rPr>
        <w:t>馆内简介</w:t>
      </w:r>
      <w:bookmarkEnd w:id="1"/>
    </w:p>
    <w:p>
      <w:pPr>
        <w:spacing w:after="0" w:line="560" w:lineRule="exact"/>
        <w:ind w:firstLine="640" w:firstLineChars="200"/>
        <w:rPr>
          <w:rFonts w:ascii="楷体" w:hAnsi="楷体" w:eastAsia="楷体" w:cs="宋体"/>
          <w:color w:val="333333"/>
          <w:sz w:val="32"/>
          <w:szCs w:val="32"/>
        </w:rPr>
      </w:pPr>
      <w:r>
        <w:rPr>
          <w:rFonts w:hint="eastAsia" w:ascii="楷体" w:hAnsi="楷体" w:eastAsia="楷体" w:cs="宋体"/>
          <w:color w:val="333333"/>
          <w:sz w:val="32"/>
          <w:szCs w:val="32"/>
        </w:rPr>
        <w:t>官渡区图书馆成立于1979年7月，是文化部评定的一级图书馆，位于云秀书院内，馆舍美观大方，面积5860平方米，四周绿树环绕，如在园林中。图书馆365天开馆，周开馆时间61.5小时，免费向读者提供内容丰富、形式多样的阅读服务。馆内设有社科图书外借处（含盲文书）、自科图书外借处、报刊综合阅览室、少儿阅览室、少儿图书外借处、参考资料阅览室、科技书刊阅览室、电子阅览室、自带书阅览室、多功能舞蹈教室等服务窗口。</w:t>
      </w:r>
    </w:p>
    <w:p>
      <w:pPr>
        <w:spacing w:after="0" w:line="560" w:lineRule="exact"/>
        <w:ind w:firstLine="640" w:firstLineChars="200"/>
        <w:rPr>
          <w:rFonts w:ascii="楷体" w:hAnsi="楷体" w:eastAsia="楷体" w:cs="宋体"/>
          <w:color w:val="333333"/>
          <w:sz w:val="32"/>
          <w:szCs w:val="32"/>
        </w:rPr>
      </w:pPr>
      <w:r>
        <w:rPr>
          <w:rFonts w:hint="eastAsia" w:ascii="楷体" w:hAnsi="楷体" w:eastAsia="楷体" w:cs="宋体"/>
          <w:color w:val="333333"/>
          <w:sz w:val="32"/>
          <w:szCs w:val="32"/>
        </w:rPr>
        <w:t>图书馆每年举办各种读者服务活动，如：“三下乡”、 “4.23”世界读书日系列活动、少儿读者系列活动（少儿书签设计比赛、“书香家庭 幸福阅读”、益智游戏……）“声阅读”系列活动、“经典诵读比赛”、“你选书 我买单”等，并在重大节日和时间节点开展相应主题活动和主题展览。</w:t>
      </w:r>
    </w:p>
    <w:p>
      <w:pPr>
        <w:spacing w:after="0" w:line="560" w:lineRule="exact"/>
        <w:ind w:firstLine="640" w:firstLineChars="200"/>
        <w:rPr>
          <w:rFonts w:asciiTheme="majorHAnsi" w:hAnsiTheme="majorHAnsi" w:eastAsiaTheme="majorEastAsia" w:cstheme="majorBidi"/>
          <w:sz w:val="32"/>
          <w:szCs w:val="32"/>
        </w:rPr>
      </w:pPr>
      <w:r>
        <w:rPr>
          <w:rFonts w:hint="eastAsia" w:ascii="楷体" w:hAnsi="楷体" w:eastAsia="楷体" w:cs="宋体"/>
          <w:color w:val="333333"/>
          <w:sz w:val="32"/>
          <w:szCs w:val="32"/>
        </w:rPr>
        <w:t>图书馆在做好阵地服务工作的同时，定期对街道文化站、社区文化室、学校等基层图书馆（室）开展辅导和培训，走出馆门把图书送到读者身边，在街道、社区、学校、企业、部队等设立馆外图书流通点，定期更换图书，让更多群众共享文化资源，此外，开设了“云秀讲坛”公益讲座，每年均将不同主题的“云秀讲坛”公益讲座送往街道、社区、部队、学校等，力争把“云秀讲坛”举办成思想、文化、知识交流的平台，将其打造成官渡区的又一张闪亮的文化名片。</w:t>
      </w:r>
      <w:r>
        <w:br w:type="page"/>
      </w:r>
    </w:p>
    <w:p>
      <w:pPr>
        <w:pStyle w:val="3"/>
        <w:jc w:val="left"/>
        <w:rPr>
          <w:b/>
        </w:rPr>
      </w:pPr>
      <w:bookmarkStart w:id="2" w:name="_Toc108763467"/>
      <w:r>
        <w:rPr>
          <w:rFonts w:hint="eastAsia"/>
          <w:b/>
        </w:rPr>
        <w:t>1</w:t>
      </w:r>
      <w:r>
        <w:rPr>
          <w:b/>
        </w:rPr>
        <w:t xml:space="preserve">.2 </w:t>
      </w:r>
      <w:r>
        <w:rPr>
          <w:rFonts w:hint="eastAsia"/>
          <w:b/>
        </w:rPr>
        <w:t>工作总结</w:t>
      </w:r>
      <w:bookmarkEnd w:id="2"/>
    </w:p>
    <w:p>
      <w:pPr>
        <w:spacing w:after="0" w:line="560" w:lineRule="exact"/>
        <w:ind w:firstLine="640" w:firstLineChars="200"/>
        <w:rPr>
          <w:rFonts w:hint="eastAsia" w:ascii="楷体" w:hAnsi="楷体" w:eastAsia="楷体" w:cs="宋体"/>
          <w:color w:val="333333"/>
          <w:sz w:val="32"/>
          <w:szCs w:val="32"/>
        </w:rPr>
      </w:pPr>
      <w:r>
        <w:rPr>
          <w:rFonts w:hint="eastAsia" w:ascii="楷体" w:hAnsi="楷体" w:eastAsia="楷体" w:cs="宋体"/>
          <w:color w:val="333333"/>
          <w:sz w:val="32"/>
          <w:szCs w:val="32"/>
        </w:rPr>
        <w:t>2018年,官渡区图书馆在区委区政府的关心指导下、在区文化体育旅游局的正确领导下，以宣传贯彻落实党的十九大精神为宗旨，以推动文化大发展大繁荣为目标，秉承公益性、基本性、均等性、便利性的理念，凝心聚力、开拓创新，扎实工作，打造亮点，突出特点，切实发挥国家“一级图书馆”在公共文化服务体系建设的功能，努力投稿“文明城市”创建等重要工作中，进一步提高服务效能，有效保障人民群众的基本文化权益。</w:t>
      </w:r>
    </w:p>
    <w:p>
      <w:pPr>
        <w:spacing w:after="0" w:line="560" w:lineRule="exact"/>
        <w:ind w:firstLine="640" w:firstLineChars="200"/>
        <w:rPr>
          <w:rFonts w:hint="eastAsia" w:ascii="楷体" w:hAnsi="楷体" w:eastAsia="楷体" w:cs="宋体"/>
          <w:color w:val="333333"/>
          <w:sz w:val="32"/>
          <w:szCs w:val="32"/>
        </w:rPr>
      </w:pPr>
      <w:r>
        <w:rPr>
          <w:rFonts w:hint="eastAsia" w:ascii="楷体" w:hAnsi="楷体" w:eastAsia="楷体" w:cs="宋体"/>
          <w:color w:val="333333"/>
          <w:sz w:val="32"/>
          <w:szCs w:val="32"/>
        </w:rPr>
        <w:t>工作亮点：</w:t>
      </w:r>
    </w:p>
    <w:p>
      <w:pPr>
        <w:spacing w:after="0" w:line="560" w:lineRule="exact"/>
        <w:ind w:firstLine="640" w:firstLineChars="200"/>
        <w:rPr>
          <w:rFonts w:hint="eastAsia" w:ascii="楷体" w:hAnsi="楷体" w:eastAsia="楷体" w:cs="宋体"/>
          <w:color w:val="333333"/>
          <w:sz w:val="32"/>
          <w:szCs w:val="32"/>
        </w:rPr>
      </w:pPr>
      <w:r>
        <w:rPr>
          <w:rFonts w:hint="eastAsia" w:ascii="楷体" w:hAnsi="楷体" w:eastAsia="楷体" w:cs="宋体"/>
          <w:color w:val="333333"/>
          <w:sz w:val="32"/>
          <w:szCs w:val="32"/>
        </w:rPr>
        <w:t>一、按需所设、精准帮扶，保障特殊群体公共文化服务权益</w:t>
      </w:r>
    </w:p>
    <w:p>
      <w:pPr>
        <w:spacing w:after="0" w:line="560" w:lineRule="exact"/>
        <w:ind w:firstLine="640" w:firstLineChars="200"/>
        <w:rPr>
          <w:rFonts w:hint="eastAsia" w:ascii="楷体" w:hAnsi="楷体" w:eastAsia="楷体" w:cs="宋体"/>
          <w:color w:val="333333"/>
          <w:sz w:val="32"/>
          <w:szCs w:val="32"/>
        </w:rPr>
      </w:pPr>
      <w:r>
        <w:rPr>
          <w:rFonts w:hint="eastAsia" w:ascii="楷体" w:hAnsi="楷体" w:eastAsia="楷体" w:cs="宋体"/>
          <w:color w:val="333333"/>
          <w:sz w:val="32"/>
          <w:szCs w:val="32"/>
        </w:rPr>
        <w:t>针对特殊人群开展文化关爱、“送温暖”活动：一是在官渡区看守所设立图书流通点，精心挑选优秀图书，开展阅读分享活动、读书心得征文活动，通过图书丰富在押人员的精神文化生活，帮助在押人员迷途知返，早日回归社会和家庭。二是到敬老院开展学习宣传党的十九大精神和孝老爱亲为主题的阅读分享活动，赠送图书。通过“为爱朗读”的方式，抚慰行动不便、病痛缠身的老年人，让“孝老爱亲”的传统美德得到传承，用“爱的文化”引领老年人老有所乐、老有所为。三是采取“菜单式”、“订单式”的服务方式，有针对性地为残疾人读者开展送书上门服务及盲人听书机服务，鼓励更多的残疾读者从书中汲取力量，“书写”自己“身残志坚”的人生故事；与区残联肢残协会合作开展了主题为“文化进家庭，弘扬中华传统美德，‘我自己的故事’”PK大赛，为残疾读者搭建展示自我的平台，让励志故事和正能量能更加广泛地传播，让残疾读者更能感受到自我价值实现的荣耀，激励他们以更好的精神风貌面对今后的生活。四是对进城务工人员子女较多的欣景社区“四点半学校”开展“送绘本·种文化”活动，通过绘本故事的讲述，加深孩子们对传统文化的认知。</w:t>
      </w:r>
    </w:p>
    <w:p>
      <w:pPr>
        <w:spacing w:after="0" w:line="560" w:lineRule="exact"/>
        <w:ind w:firstLine="640" w:firstLineChars="200"/>
        <w:rPr>
          <w:rFonts w:hint="eastAsia" w:ascii="楷体" w:hAnsi="楷体" w:eastAsia="楷体" w:cs="宋体"/>
          <w:color w:val="333333"/>
          <w:sz w:val="32"/>
          <w:szCs w:val="32"/>
        </w:rPr>
      </w:pPr>
      <w:r>
        <w:rPr>
          <w:rFonts w:hint="eastAsia" w:ascii="楷体" w:hAnsi="楷体" w:eastAsia="楷体" w:cs="宋体"/>
          <w:color w:val="333333"/>
          <w:sz w:val="32"/>
          <w:szCs w:val="32"/>
        </w:rPr>
        <w:t>二、推进馆外流通点建设，把图书馆建在群众家门口，促进公共文化服务的均等化实施</w:t>
      </w:r>
    </w:p>
    <w:p>
      <w:pPr>
        <w:spacing w:after="0" w:line="560" w:lineRule="exact"/>
        <w:ind w:firstLine="640" w:firstLineChars="200"/>
        <w:rPr>
          <w:rFonts w:hint="eastAsia" w:ascii="楷体" w:hAnsi="楷体" w:eastAsia="楷体" w:cs="宋体"/>
          <w:color w:val="333333"/>
          <w:sz w:val="32"/>
          <w:szCs w:val="32"/>
        </w:rPr>
      </w:pPr>
      <w:r>
        <w:rPr>
          <w:rFonts w:hint="eastAsia" w:ascii="楷体" w:hAnsi="楷体" w:eastAsia="楷体" w:cs="宋体"/>
          <w:color w:val="333333"/>
          <w:sz w:val="32"/>
          <w:szCs w:val="32"/>
        </w:rPr>
        <w:t>为进一步推进区域均衡、人群均等的现代公共文化服务体系建设，官渡区图书馆坚持共建共享、充分利用自身丰富的馆藏资源优势，进一步完善基层文化网络建设，将图书馆建在群众家门口。根据各服务点实际情况，优化配置图书资源，进一步满足我区人民群众就近看书、看优秀图书的文化需求。截至目前，官渡区图书馆在馆外共建设有46个图书服务点，其中包含15个图书馆分馆、25个图书流通点、6个流动书吧。</w:t>
      </w:r>
    </w:p>
    <w:p>
      <w:pPr>
        <w:spacing w:after="0" w:line="560" w:lineRule="exact"/>
        <w:ind w:firstLine="640" w:firstLineChars="200"/>
        <w:rPr>
          <w:rFonts w:hint="eastAsia" w:ascii="楷体" w:hAnsi="楷体" w:eastAsia="楷体" w:cs="宋体"/>
          <w:color w:val="333333"/>
          <w:sz w:val="32"/>
          <w:szCs w:val="32"/>
        </w:rPr>
      </w:pPr>
      <w:r>
        <w:rPr>
          <w:rFonts w:hint="eastAsia" w:ascii="楷体" w:hAnsi="楷体" w:eastAsia="楷体" w:cs="宋体"/>
          <w:color w:val="333333"/>
          <w:sz w:val="32"/>
          <w:szCs w:val="32"/>
        </w:rPr>
        <w:t>三、数字阅读助力，服务模式微创新，运用新技术开展阅读推广服务</w:t>
      </w:r>
    </w:p>
    <w:p>
      <w:pPr>
        <w:spacing w:after="0" w:line="560" w:lineRule="exact"/>
        <w:ind w:firstLine="640" w:firstLineChars="200"/>
        <w:rPr>
          <w:rFonts w:hint="eastAsia" w:ascii="楷体" w:hAnsi="楷体" w:eastAsia="楷体" w:cs="宋体"/>
          <w:color w:val="333333"/>
          <w:sz w:val="32"/>
          <w:szCs w:val="32"/>
        </w:rPr>
      </w:pPr>
      <w:r>
        <w:rPr>
          <w:rFonts w:hint="eastAsia" w:ascii="楷体" w:hAnsi="楷体" w:eastAsia="楷体" w:cs="宋体"/>
          <w:color w:val="333333"/>
          <w:sz w:val="32"/>
          <w:szCs w:val="32"/>
        </w:rPr>
        <w:t>官渡区图书馆在做好基本公共文化服务的同时，不断创新服务模式，加快公共文化服务与科技融合发展。一是拓宽服务领域延伸服务范围，推进数字化建设，开展数字化阅读服务。在长水国际机场边检站出境候检大厅设置电子书下载阅读器，为出境旅客提供免费电子书刊阅读、下载的数字化阅读服务。二是在第三届“书香家庭·幸福阅读”系列活动增加新技术运用，使活动的效果、影响力得到持续、深化。活动中利用微信小程序提高了效率，开设每天一堂线上小讲座，高效地开展了阅读辅导，打造了良好的图书馆服务品牌。三是在暑期开展了“艺术和科学之夏”主题少儿活动，通过引入“AR、VR介绍及航模制作”、“少儿趣味编程”等科技课程，让更多的少儿读者在图书馆通过玩科学、玩艺术来爱上阅读，提高少儿读者读好书、好读书的积极性。</w:t>
      </w:r>
    </w:p>
    <w:p>
      <w:pPr>
        <w:spacing w:after="0" w:line="560" w:lineRule="exact"/>
        <w:ind w:firstLine="640" w:firstLineChars="200"/>
        <w:rPr>
          <w:rFonts w:hint="eastAsia" w:ascii="楷体" w:hAnsi="楷体" w:eastAsia="楷体" w:cs="宋体"/>
          <w:color w:val="333333"/>
          <w:sz w:val="32"/>
          <w:szCs w:val="32"/>
        </w:rPr>
      </w:pPr>
      <w:r>
        <w:rPr>
          <w:rFonts w:hint="eastAsia" w:ascii="楷体" w:hAnsi="楷体" w:eastAsia="楷体" w:cs="宋体"/>
          <w:color w:val="333333"/>
          <w:sz w:val="32"/>
          <w:szCs w:val="32"/>
        </w:rPr>
        <w:t>四、以诵读促阅读，构建“书香社会、书香官渡”，提高公共文化服务水平</w:t>
      </w:r>
    </w:p>
    <w:p>
      <w:pPr>
        <w:spacing w:after="0" w:line="560" w:lineRule="exact"/>
        <w:ind w:firstLine="640" w:firstLineChars="200"/>
        <w:rPr>
          <w:rFonts w:hint="eastAsia" w:ascii="楷体" w:hAnsi="楷体" w:eastAsia="楷体" w:cs="宋体"/>
          <w:color w:val="333333"/>
          <w:sz w:val="32"/>
          <w:szCs w:val="32"/>
        </w:rPr>
      </w:pPr>
      <w:r>
        <w:rPr>
          <w:rFonts w:hint="eastAsia" w:ascii="楷体" w:hAnsi="楷体" w:eastAsia="楷体" w:cs="宋体"/>
          <w:color w:val="333333"/>
          <w:sz w:val="32"/>
          <w:szCs w:val="32"/>
        </w:rPr>
        <w:t>挖掘传统节日文化和重要纪念日的精神内涵，组织开展“端午诗会”、“风·雅·颂”国学经典诵读等活动，吸引全区更多的诵读爱好者参与到优秀传统文化传承中来。以诵读促阅读，积极营造书香官渡的良好学习氛围，让国学经典融入群众性文化活动中，切实将文化乐民、文化惠民、文化育民落到实处。我馆组织创作排练的节目《相遇&lt;牡丹亭&gt;》在昆明市2018年“风·雅·颂”国学经典诵读展演中荣获二等奖的好成绩，并被选为2018年昆明市优秀国学经典诵读作品，进校园展演节目。</w:t>
      </w:r>
    </w:p>
    <w:p>
      <w:pPr>
        <w:spacing w:after="0" w:line="560" w:lineRule="exact"/>
        <w:ind w:firstLine="640" w:firstLineChars="200"/>
        <w:rPr>
          <w:rFonts w:hint="eastAsia" w:ascii="楷体" w:hAnsi="楷体" w:eastAsia="楷体" w:cs="宋体"/>
          <w:color w:val="333333"/>
          <w:sz w:val="32"/>
          <w:szCs w:val="32"/>
        </w:rPr>
      </w:pPr>
      <w:r>
        <w:rPr>
          <w:rFonts w:hint="eastAsia" w:ascii="楷体" w:hAnsi="楷体" w:eastAsia="楷体" w:cs="宋体"/>
          <w:color w:val="333333"/>
          <w:sz w:val="32"/>
          <w:szCs w:val="32"/>
        </w:rPr>
        <w:t>重点工作</w:t>
      </w:r>
    </w:p>
    <w:p>
      <w:pPr>
        <w:spacing w:after="0" w:line="560" w:lineRule="exact"/>
        <w:ind w:firstLine="640" w:firstLineChars="200"/>
        <w:rPr>
          <w:rFonts w:hint="eastAsia" w:ascii="楷体" w:hAnsi="楷体" w:eastAsia="楷体" w:cs="宋体"/>
          <w:color w:val="333333"/>
          <w:sz w:val="32"/>
          <w:szCs w:val="32"/>
        </w:rPr>
      </w:pPr>
      <w:r>
        <w:rPr>
          <w:rFonts w:hint="eastAsia" w:ascii="楷体" w:hAnsi="楷体" w:eastAsia="楷体" w:cs="宋体"/>
          <w:color w:val="333333"/>
          <w:sz w:val="32"/>
          <w:szCs w:val="32"/>
        </w:rPr>
        <w:t>　一、全力以赴，努力完成各项经济指标</w:t>
      </w:r>
    </w:p>
    <w:p>
      <w:pPr>
        <w:spacing w:after="0" w:line="560" w:lineRule="exact"/>
        <w:ind w:firstLine="640" w:firstLineChars="200"/>
        <w:rPr>
          <w:rFonts w:hint="eastAsia" w:ascii="楷体" w:hAnsi="楷体" w:eastAsia="楷体" w:cs="宋体"/>
          <w:color w:val="333333"/>
          <w:sz w:val="32"/>
          <w:szCs w:val="32"/>
        </w:rPr>
      </w:pPr>
      <w:r>
        <w:rPr>
          <w:rFonts w:hint="eastAsia" w:ascii="楷体" w:hAnsi="楷体" w:eastAsia="楷体" w:cs="宋体"/>
          <w:color w:val="333333"/>
          <w:sz w:val="32"/>
          <w:szCs w:val="32"/>
        </w:rPr>
        <w:t>（一）向上争取资金</w:t>
      </w:r>
    </w:p>
    <w:p>
      <w:pPr>
        <w:spacing w:after="0" w:line="560" w:lineRule="exact"/>
        <w:ind w:firstLine="640" w:firstLineChars="200"/>
        <w:rPr>
          <w:rFonts w:hint="eastAsia" w:ascii="楷体" w:hAnsi="楷体" w:eastAsia="楷体" w:cs="宋体"/>
          <w:color w:val="333333"/>
          <w:sz w:val="32"/>
          <w:szCs w:val="32"/>
        </w:rPr>
      </w:pPr>
      <w:r>
        <w:rPr>
          <w:rFonts w:hint="eastAsia" w:ascii="楷体" w:hAnsi="楷体" w:eastAsia="楷体" w:cs="宋体"/>
          <w:color w:val="333333"/>
          <w:sz w:val="32"/>
          <w:szCs w:val="32"/>
        </w:rPr>
        <w:t>完成向上争取资金20万元，其中，中央专项补助资金16万，地方配套资金4万。</w:t>
      </w:r>
    </w:p>
    <w:p>
      <w:pPr>
        <w:spacing w:after="0" w:line="560" w:lineRule="exact"/>
        <w:ind w:firstLine="640" w:firstLineChars="200"/>
        <w:rPr>
          <w:rFonts w:hint="eastAsia" w:ascii="楷体" w:hAnsi="楷体" w:eastAsia="楷体" w:cs="宋体"/>
          <w:color w:val="333333"/>
          <w:sz w:val="32"/>
          <w:szCs w:val="32"/>
        </w:rPr>
      </w:pPr>
      <w:r>
        <w:rPr>
          <w:rFonts w:hint="eastAsia" w:ascii="楷体" w:hAnsi="楷体" w:eastAsia="楷体" w:cs="宋体"/>
          <w:color w:val="333333"/>
          <w:sz w:val="32"/>
          <w:szCs w:val="32"/>
        </w:rPr>
        <w:t>（二）招商引资工作</w:t>
      </w:r>
    </w:p>
    <w:p>
      <w:pPr>
        <w:spacing w:after="0" w:line="560" w:lineRule="exact"/>
        <w:ind w:firstLine="640" w:firstLineChars="200"/>
        <w:rPr>
          <w:rFonts w:hint="eastAsia" w:ascii="楷体" w:hAnsi="楷体" w:eastAsia="楷体" w:cs="宋体"/>
          <w:color w:val="333333"/>
          <w:sz w:val="32"/>
          <w:szCs w:val="32"/>
        </w:rPr>
      </w:pPr>
      <w:r>
        <w:rPr>
          <w:rFonts w:hint="eastAsia" w:ascii="楷体" w:hAnsi="楷体" w:eastAsia="楷体" w:cs="宋体"/>
          <w:color w:val="333333"/>
          <w:sz w:val="32"/>
          <w:szCs w:val="32"/>
        </w:rPr>
        <w:t xml:space="preserve">在产业科的指导帮助下，完成招商引资项目500万元的任务目标。 </w:t>
      </w:r>
    </w:p>
    <w:p>
      <w:pPr>
        <w:spacing w:after="0" w:line="560" w:lineRule="exact"/>
        <w:ind w:firstLine="640" w:firstLineChars="200"/>
        <w:rPr>
          <w:rFonts w:hint="eastAsia" w:ascii="楷体" w:hAnsi="楷体" w:eastAsia="楷体" w:cs="宋体"/>
          <w:color w:val="333333"/>
          <w:sz w:val="32"/>
          <w:szCs w:val="32"/>
        </w:rPr>
      </w:pPr>
      <w:r>
        <w:rPr>
          <w:rFonts w:hint="eastAsia" w:ascii="楷体" w:hAnsi="楷体" w:eastAsia="楷体" w:cs="宋体"/>
          <w:color w:val="333333"/>
          <w:sz w:val="32"/>
          <w:szCs w:val="32"/>
        </w:rPr>
        <w:t>二、提升服务质量，按照全国“一级图书馆”标准开展读者服务，助推全国文明城市创建工作</w:t>
      </w:r>
    </w:p>
    <w:p>
      <w:pPr>
        <w:spacing w:after="0" w:line="560" w:lineRule="exact"/>
        <w:ind w:firstLine="640" w:firstLineChars="200"/>
        <w:rPr>
          <w:rFonts w:hint="eastAsia" w:ascii="楷体" w:hAnsi="楷体" w:eastAsia="楷体" w:cs="宋体"/>
          <w:color w:val="333333"/>
          <w:sz w:val="32"/>
          <w:szCs w:val="32"/>
        </w:rPr>
      </w:pPr>
      <w:r>
        <w:rPr>
          <w:rFonts w:hint="eastAsia" w:ascii="楷体" w:hAnsi="楷体" w:eastAsia="楷体" w:cs="宋体"/>
          <w:color w:val="333333"/>
          <w:sz w:val="32"/>
          <w:szCs w:val="32"/>
        </w:rPr>
        <w:t>截至目前,共接待读者322082人（馆内接待读者103622人，分馆和流通点接待读者218460人），书刊文献流通571447册（馆内流通316117册，分馆和流通点流通255330册），网站访问量163593人次，新办理借书证1061人，分编新书11111余册，订购期刊880种、报纸73种，手工装订255册报纸合订本。馆藏总量53万余册，其中电子书16万种。举办各类活动和培训170场；各类主题展览7次；各类讲座13次。</w:t>
      </w:r>
    </w:p>
    <w:p>
      <w:pPr>
        <w:spacing w:after="0" w:line="560" w:lineRule="exact"/>
        <w:ind w:firstLine="640" w:firstLineChars="200"/>
        <w:rPr>
          <w:rFonts w:hint="eastAsia" w:ascii="楷体" w:hAnsi="楷体" w:eastAsia="楷体" w:cs="宋体"/>
          <w:color w:val="333333"/>
          <w:sz w:val="32"/>
          <w:szCs w:val="32"/>
        </w:rPr>
      </w:pPr>
      <w:r>
        <w:rPr>
          <w:rFonts w:hint="eastAsia" w:ascii="楷体" w:hAnsi="楷体" w:eastAsia="楷体" w:cs="宋体"/>
          <w:color w:val="333333"/>
          <w:sz w:val="32"/>
          <w:szCs w:val="32"/>
        </w:rPr>
        <w:t>（一）精心安排节日期间文化惠民活动，进一步深化“我们的节日”主题活动</w:t>
      </w:r>
    </w:p>
    <w:p>
      <w:pPr>
        <w:spacing w:after="0" w:line="560" w:lineRule="exact"/>
        <w:ind w:firstLine="640" w:firstLineChars="200"/>
        <w:rPr>
          <w:rFonts w:hint="eastAsia" w:ascii="楷体" w:hAnsi="楷体" w:eastAsia="楷体" w:cs="宋体"/>
          <w:color w:val="333333"/>
          <w:sz w:val="32"/>
          <w:szCs w:val="32"/>
        </w:rPr>
      </w:pPr>
      <w:r>
        <w:rPr>
          <w:rFonts w:hint="eastAsia" w:ascii="楷体" w:hAnsi="楷体" w:eastAsia="楷体" w:cs="宋体"/>
          <w:color w:val="333333"/>
          <w:sz w:val="32"/>
          <w:szCs w:val="32"/>
        </w:rPr>
        <w:t>１.开展“迎新春、送祝福”文化下乡活动</w:t>
      </w:r>
    </w:p>
    <w:p>
      <w:pPr>
        <w:spacing w:after="0" w:line="560" w:lineRule="exact"/>
        <w:ind w:firstLine="640" w:firstLineChars="200"/>
        <w:rPr>
          <w:rFonts w:hint="eastAsia" w:ascii="楷体" w:hAnsi="楷体" w:eastAsia="楷体" w:cs="宋体"/>
          <w:color w:val="333333"/>
          <w:sz w:val="32"/>
          <w:szCs w:val="32"/>
        </w:rPr>
      </w:pPr>
      <w:r>
        <w:rPr>
          <w:rFonts w:hint="eastAsia" w:ascii="楷体" w:hAnsi="楷体" w:eastAsia="楷体" w:cs="宋体"/>
          <w:color w:val="333333"/>
          <w:sz w:val="32"/>
          <w:szCs w:val="32"/>
        </w:rPr>
        <w:t>2018年1月23日到2018年2月8日，官渡区图书馆到小板桥街道海伦堡社区、吴井街道城市理想广场、关上街道官渡广场、太和街道雷锋广场、官渡街道艺术家园社区、矣六街道映华社区、六甲街道福保文化城、金马街道东骧神骏社区、空港经济区大板桥社区开展文化下乡活动共9次，现场书写春联1200对，发放春联和门神6200副、农家历5600本、窗花1200个、有奖知识竞赛奖品780个，服务群众6000多人。对关上街道图书馆分馆、与凡阅读馆分馆及官渡大酒店图书流通点、矣六街道欣景社区图书流通点开展赠书活动4次，赠书350册次，价值9237.10元。</w:t>
      </w:r>
    </w:p>
    <w:p>
      <w:pPr>
        <w:spacing w:after="0" w:line="560" w:lineRule="exact"/>
        <w:ind w:firstLine="640" w:firstLineChars="200"/>
        <w:rPr>
          <w:rFonts w:hint="eastAsia" w:ascii="楷体" w:hAnsi="楷体" w:eastAsia="楷体" w:cs="宋体"/>
          <w:color w:val="333333"/>
          <w:sz w:val="32"/>
          <w:szCs w:val="32"/>
        </w:rPr>
      </w:pPr>
      <w:r>
        <w:rPr>
          <w:rFonts w:hint="eastAsia" w:ascii="楷体" w:hAnsi="楷体" w:eastAsia="楷体" w:cs="宋体"/>
          <w:color w:val="333333"/>
          <w:sz w:val="32"/>
          <w:szCs w:val="32"/>
        </w:rPr>
        <w:t>２.开展元宵节“欢天喜地闹元宵”灯谜竞猜活动</w:t>
      </w:r>
    </w:p>
    <w:p>
      <w:pPr>
        <w:spacing w:after="0" w:line="560" w:lineRule="exact"/>
        <w:ind w:firstLine="640" w:firstLineChars="200"/>
        <w:rPr>
          <w:rFonts w:hint="eastAsia" w:ascii="楷体" w:hAnsi="楷体" w:eastAsia="楷体" w:cs="宋体"/>
          <w:color w:val="333333"/>
          <w:sz w:val="32"/>
          <w:szCs w:val="32"/>
        </w:rPr>
      </w:pPr>
      <w:r>
        <w:rPr>
          <w:rFonts w:hint="eastAsia" w:ascii="楷体" w:hAnsi="楷体" w:eastAsia="楷体" w:cs="宋体"/>
          <w:color w:val="333333"/>
          <w:sz w:val="32"/>
          <w:szCs w:val="32"/>
        </w:rPr>
        <w:t>3月2日，在官渡古镇金刚塔旁边的广场组织开展元宵节灯谜竞猜活动，悬挂了大、小不一的灯笼和五彩斑斓的灯谜，营造了喜庆浓郁的节日氛围。活动现场竞猜灯谜400条，发出各类小礼品600多个，参与市民近千人。通过有奖灯谜竞猜活动的开展，不仅让大家感受到了浓浓的节日氛围，更是激发了大家对传统文化的学习热情。</w:t>
      </w:r>
    </w:p>
    <w:p>
      <w:pPr>
        <w:spacing w:after="0" w:line="560" w:lineRule="exact"/>
        <w:ind w:firstLine="640" w:firstLineChars="200"/>
        <w:rPr>
          <w:rFonts w:hint="eastAsia" w:ascii="楷体" w:hAnsi="楷体" w:eastAsia="楷体" w:cs="宋体"/>
          <w:color w:val="333333"/>
          <w:sz w:val="32"/>
          <w:szCs w:val="32"/>
        </w:rPr>
      </w:pPr>
      <w:r>
        <w:rPr>
          <w:rFonts w:hint="eastAsia" w:ascii="楷体" w:hAnsi="楷体" w:eastAsia="楷体" w:cs="宋体"/>
          <w:color w:val="333333"/>
          <w:sz w:val="32"/>
          <w:szCs w:val="32"/>
        </w:rPr>
        <w:t>３.开展纪念“三·八国际妇女节”国际跳棋亲子趣味比赛活动</w:t>
      </w:r>
    </w:p>
    <w:p>
      <w:pPr>
        <w:spacing w:after="0" w:line="560" w:lineRule="exact"/>
        <w:ind w:firstLine="640" w:firstLineChars="200"/>
        <w:rPr>
          <w:rFonts w:hint="eastAsia" w:ascii="楷体" w:hAnsi="楷体" w:eastAsia="楷体" w:cs="宋体"/>
          <w:color w:val="333333"/>
          <w:sz w:val="32"/>
          <w:szCs w:val="32"/>
        </w:rPr>
      </w:pPr>
      <w:r>
        <w:rPr>
          <w:rFonts w:hint="eastAsia" w:ascii="楷体" w:hAnsi="楷体" w:eastAsia="楷体" w:cs="宋体"/>
          <w:color w:val="333333"/>
          <w:sz w:val="32"/>
          <w:szCs w:val="32"/>
        </w:rPr>
        <w:t>为给我区广大妇女、职工的家庭营造与子女亲情陪伴、亲密交流的氛围，更好地增进家庭成员之间的亲情关系，用生动活泼的形式培育和践行社会主义核心价值观，由区文体旅游局、区总工会、区妇联联合主办，区图书馆承办，3月4日在区图书馆少儿阅览部开展了三八国际妇女节亲子跳棋趣味比赛。在经历5轮比赛之后，16个参加官渡区2018年亲子趣味国际跳棋比赛的家庭从51支参赛队伍中胜出，获得优胜奖。这也是云南首个国际跳棋亲子趣味比赛，官渡区图书馆在活动中还开展了棋书推荐、趣味阅读、微信“微讲座”以及棋具外借等多种服务，以吸引更多的读者共同参与。</w:t>
      </w:r>
    </w:p>
    <w:p>
      <w:pPr>
        <w:spacing w:after="0" w:line="560" w:lineRule="exact"/>
        <w:ind w:firstLine="640" w:firstLineChars="200"/>
        <w:rPr>
          <w:rFonts w:hint="eastAsia" w:ascii="楷体" w:hAnsi="楷体" w:eastAsia="楷体" w:cs="宋体"/>
          <w:color w:val="333333"/>
          <w:sz w:val="32"/>
          <w:szCs w:val="32"/>
        </w:rPr>
      </w:pPr>
      <w:r>
        <w:rPr>
          <w:rFonts w:hint="eastAsia" w:ascii="楷体" w:hAnsi="楷体" w:eastAsia="楷体" w:cs="宋体"/>
          <w:color w:val="333333"/>
          <w:sz w:val="32"/>
          <w:szCs w:val="32"/>
        </w:rPr>
        <w:t>（二）策划开展丰富多彩的少儿阅读活动，进一步打造我区少儿阅读推广活动品牌</w:t>
      </w:r>
    </w:p>
    <w:p>
      <w:pPr>
        <w:spacing w:after="0" w:line="560" w:lineRule="exact"/>
        <w:ind w:firstLine="640" w:firstLineChars="200"/>
        <w:rPr>
          <w:rFonts w:hint="eastAsia" w:ascii="楷体" w:hAnsi="楷体" w:eastAsia="楷体" w:cs="宋体"/>
          <w:color w:val="333333"/>
          <w:sz w:val="32"/>
          <w:szCs w:val="32"/>
        </w:rPr>
      </w:pPr>
      <w:r>
        <w:rPr>
          <w:rFonts w:hint="eastAsia" w:ascii="楷体" w:hAnsi="楷体" w:eastAsia="楷体" w:cs="宋体"/>
          <w:color w:val="333333"/>
          <w:sz w:val="32"/>
          <w:szCs w:val="32"/>
        </w:rPr>
        <w:t>１.寒假期间开展“年的味道”少儿阅读活动</w:t>
      </w:r>
    </w:p>
    <w:p>
      <w:pPr>
        <w:spacing w:after="0" w:line="560" w:lineRule="exact"/>
        <w:ind w:firstLine="640" w:firstLineChars="200"/>
        <w:rPr>
          <w:rFonts w:hint="eastAsia" w:ascii="楷体" w:hAnsi="楷体" w:eastAsia="楷体" w:cs="宋体"/>
          <w:color w:val="333333"/>
          <w:sz w:val="32"/>
          <w:szCs w:val="32"/>
        </w:rPr>
      </w:pPr>
      <w:r>
        <w:rPr>
          <w:rFonts w:hint="eastAsia" w:ascii="楷体" w:hAnsi="楷体" w:eastAsia="楷体" w:cs="宋体"/>
          <w:color w:val="333333"/>
          <w:sz w:val="32"/>
          <w:szCs w:val="32"/>
        </w:rPr>
        <w:t>春节前后，也是少儿读者寒假期间，区图书馆因势利导，把服务重点放在馆内的少儿阅读活动，开展了一批传统文化元素丰富的活动，让春节期间的活动成为向未成年人传播中华民族传统习俗、传统技艺、传统美德的渠道，让少儿读者在快乐中享受传统文化的魅力。寒假“年的味道”少儿阅读活动由三个主题的系列活动构成。一是“春节年俗”系列少儿主题活动：同心共绘中国年、匠意体验—宫灯制作、春节看大剧—体验京剧之美、挥毫泼墨—春联迎春四场不一样的活动，邀请剪纸项目传承人教剪纸，讲年俗、组织少儿读者听故事做手工等等。共开展4场活动，参与读者约200人次。</w:t>
      </w:r>
    </w:p>
    <w:p>
      <w:pPr>
        <w:spacing w:after="0" w:line="560" w:lineRule="exact"/>
        <w:ind w:firstLine="640" w:firstLineChars="200"/>
        <w:rPr>
          <w:rFonts w:hint="eastAsia" w:ascii="楷体" w:hAnsi="楷体" w:eastAsia="楷体" w:cs="宋体"/>
          <w:color w:val="333333"/>
          <w:sz w:val="32"/>
          <w:szCs w:val="32"/>
        </w:rPr>
      </w:pPr>
      <w:r>
        <w:rPr>
          <w:rFonts w:hint="eastAsia" w:ascii="楷体" w:hAnsi="楷体" w:eastAsia="楷体" w:cs="宋体"/>
          <w:color w:val="333333"/>
          <w:sz w:val="32"/>
          <w:szCs w:val="32"/>
        </w:rPr>
        <w:t>二是在电子阅览室开展了4次少儿计算机培训,主要教授少儿简单的计算机操作入门基础知识。三是在少儿阅览室开展国际跳棋亲子培训，此次培训不但丰富了少儿们的课外活动的乐趣，更是亲子之间的亲情互动，通过小小的一盘跳棋，让少儿们体验到了亲子之间沟通互动的乐趣，感受家庭和睦的温馨氛围。国际跳棋培训活动原计划4次，应参与家庭的要求增加2次，共举办6次，参与读者约300余人次。</w:t>
      </w:r>
    </w:p>
    <w:p>
      <w:pPr>
        <w:spacing w:after="0" w:line="560" w:lineRule="exact"/>
        <w:ind w:firstLine="640" w:firstLineChars="200"/>
        <w:rPr>
          <w:rFonts w:hint="eastAsia" w:ascii="楷体" w:hAnsi="楷体" w:eastAsia="楷体" w:cs="宋体"/>
          <w:color w:val="333333"/>
          <w:sz w:val="32"/>
          <w:szCs w:val="32"/>
        </w:rPr>
      </w:pPr>
      <w:r>
        <w:rPr>
          <w:rFonts w:hint="eastAsia" w:ascii="楷体" w:hAnsi="楷体" w:eastAsia="楷体" w:cs="宋体"/>
          <w:color w:val="333333"/>
          <w:sz w:val="32"/>
          <w:szCs w:val="32"/>
        </w:rPr>
        <w:t>2.开展2018年官渡区第三届“书香家庭·幸福阅读”系列活动</w:t>
      </w:r>
    </w:p>
    <w:p>
      <w:pPr>
        <w:spacing w:after="0" w:line="560" w:lineRule="exact"/>
        <w:ind w:firstLine="640" w:firstLineChars="200"/>
        <w:rPr>
          <w:rFonts w:hint="eastAsia" w:ascii="楷体" w:hAnsi="楷体" w:eastAsia="楷体" w:cs="宋体"/>
          <w:color w:val="333333"/>
          <w:sz w:val="32"/>
          <w:szCs w:val="32"/>
        </w:rPr>
      </w:pPr>
      <w:r>
        <w:rPr>
          <w:rFonts w:hint="eastAsia" w:ascii="楷体" w:hAnsi="楷体" w:eastAsia="楷体" w:cs="宋体"/>
          <w:color w:val="333333"/>
          <w:sz w:val="32"/>
          <w:szCs w:val="32"/>
        </w:rPr>
        <w:t>到我区四所民办幼儿园开展主题为“生命教育·绘本里的情与爱”的阅读系列活动，倡导家庭中少儿读者进行课外阅读，在培养良好阅读习惯的同时，通过启发孩子、引导孩子、鼓励孩子的方式，建立正向思考能力，帮助每个孩子探究生命的本质，在爱中实现自我生命价值，活得自在、幸福、快乐，拥有丰盛有意义的人生。活动从4月23日到5月23日共21天走进四所民办幼儿园，开展亲情相伴，亲子共读，共84个家庭参加了这一阶段的示范性活动。参与的家庭每天都分享阅读心得和图片，图书馆每天晚上开展一次微课堂网络讲座，与家长进行育儿、成长、阅读习惯养成、文化传承等为主题的微信阅读交流指导。</w:t>
      </w:r>
    </w:p>
    <w:p>
      <w:pPr>
        <w:spacing w:after="0" w:line="560" w:lineRule="exact"/>
        <w:ind w:firstLine="640" w:firstLineChars="200"/>
        <w:rPr>
          <w:rFonts w:hint="eastAsia" w:ascii="楷体" w:hAnsi="楷体" w:eastAsia="楷体" w:cs="宋体"/>
          <w:color w:val="333333"/>
          <w:sz w:val="32"/>
          <w:szCs w:val="32"/>
        </w:rPr>
      </w:pPr>
      <w:r>
        <w:rPr>
          <w:rFonts w:hint="eastAsia" w:ascii="楷体" w:hAnsi="楷体" w:eastAsia="楷体" w:cs="宋体"/>
          <w:color w:val="333333"/>
          <w:sz w:val="32"/>
          <w:szCs w:val="32"/>
        </w:rPr>
        <w:t>３.举办官渡区图书馆第七届“心灵脚印·我的书签”少儿书签设计比赛</w:t>
      </w:r>
    </w:p>
    <w:p>
      <w:pPr>
        <w:spacing w:after="0" w:line="560" w:lineRule="exact"/>
        <w:ind w:firstLine="640" w:firstLineChars="200"/>
        <w:rPr>
          <w:rFonts w:hint="eastAsia" w:ascii="楷体" w:hAnsi="楷体" w:eastAsia="楷体" w:cs="宋体"/>
          <w:color w:val="333333"/>
          <w:sz w:val="32"/>
          <w:szCs w:val="32"/>
        </w:rPr>
      </w:pPr>
      <w:r>
        <w:rPr>
          <w:rFonts w:hint="eastAsia" w:ascii="楷体" w:hAnsi="楷体" w:eastAsia="楷体" w:cs="宋体"/>
          <w:color w:val="333333"/>
          <w:sz w:val="32"/>
          <w:szCs w:val="32"/>
        </w:rPr>
        <w:t>2018年3月至5月，组织官渡区图书馆第七届“心灵脚印·我的书签”少儿书签设计比赛活动。本次比赛的主题是：“昆明记忆”，借助孩子们的巧思和慧眼，画下老昆明的一段美好时光。为让我区广大少年儿童能够参与到活动中，我馆与官渡区辖区内的公办学校、私立学校和艺术教育机构合作举办此次比赛，共有10个单位参赛，征集到参赛作品944件。最终评出低年级组、高年级组一等奖各10名、二等奖各20名、三等奖各30名以及优秀奖若干名，同时还精选出10件优秀作品准备制作成书签，作为图书馆赠送给读者的纪念品。7月8日在区图书馆少儿阅览室举行的“老昆明.旧时光”主题活动暨官渡区图书馆第七届“心灵脚印·我的书签”少儿书签设计比赛颁奖仪式,得到了广大少年儿童读者及其家长和学校的认可，共有100余名参赛选手及家长代表和参赛学校老师代表到场参加。</w:t>
      </w:r>
    </w:p>
    <w:p>
      <w:pPr>
        <w:spacing w:after="0" w:line="560" w:lineRule="exact"/>
        <w:ind w:firstLine="640" w:firstLineChars="200"/>
        <w:rPr>
          <w:rFonts w:hint="eastAsia" w:ascii="楷体" w:hAnsi="楷体" w:eastAsia="楷体" w:cs="宋体"/>
          <w:color w:val="333333"/>
          <w:sz w:val="32"/>
          <w:szCs w:val="32"/>
        </w:rPr>
      </w:pPr>
      <w:r>
        <w:rPr>
          <w:rFonts w:hint="eastAsia" w:ascii="楷体" w:hAnsi="楷体" w:eastAsia="楷体" w:cs="宋体"/>
          <w:color w:val="333333"/>
          <w:sz w:val="32"/>
          <w:szCs w:val="32"/>
        </w:rPr>
        <w:t>4.开展了以“艺术和科学之夏”为主题的少儿暑期活动</w:t>
      </w:r>
    </w:p>
    <w:p>
      <w:pPr>
        <w:spacing w:after="0" w:line="560" w:lineRule="exact"/>
        <w:ind w:firstLine="640" w:firstLineChars="200"/>
        <w:rPr>
          <w:rFonts w:hint="eastAsia" w:ascii="楷体" w:hAnsi="楷体" w:eastAsia="楷体" w:cs="宋体"/>
          <w:color w:val="333333"/>
          <w:sz w:val="32"/>
          <w:szCs w:val="32"/>
        </w:rPr>
      </w:pPr>
      <w:r>
        <w:rPr>
          <w:rFonts w:hint="eastAsia" w:ascii="楷体" w:hAnsi="楷体" w:eastAsia="楷体" w:cs="宋体"/>
          <w:color w:val="333333"/>
          <w:sz w:val="32"/>
          <w:szCs w:val="32"/>
        </w:rPr>
        <w:t>艺术和科学是提升孩子对周围世界感悟力、促进观察力、提升思维和想象力的两条必由之路。2018年的这个暑假，区图书馆共开展“奇妙的艺术”与“有趣的科学”主题活动13场，吸引了400余人次少儿读者一起在图书馆玩科学、玩艺术，爱上阅读。通过开展丰富多彩、寓教于乐的趣味阅读、艺术及科学活动，吸引我区广大少儿读者在图书馆度过了一个充实、有趣的暑假。</w:t>
      </w:r>
    </w:p>
    <w:p>
      <w:pPr>
        <w:spacing w:after="0" w:line="560" w:lineRule="exact"/>
        <w:ind w:firstLine="640" w:firstLineChars="200"/>
        <w:rPr>
          <w:rFonts w:hint="eastAsia" w:ascii="楷体" w:hAnsi="楷体" w:eastAsia="楷体" w:cs="宋体"/>
          <w:color w:val="333333"/>
          <w:sz w:val="32"/>
          <w:szCs w:val="32"/>
        </w:rPr>
      </w:pPr>
      <w:r>
        <w:rPr>
          <w:rFonts w:hint="eastAsia" w:ascii="楷体" w:hAnsi="楷体" w:eastAsia="楷体" w:cs="宋体"/>
          <w:color w:val="333333"/>
          <w:sz w:val="32"/>
          <w:szCs w:val="32"/>
        </w:rPr>
        <w:t xml:space="preserve">5.举办“我的青春·我的梦”书画比赛 </w:t>
      </w:r>
    </w:p>
    <w:p>
      <w:pPr>
        <w:spacing w:after="0" w:line="560" w:lineRule="exact"/>
        <w:ind w:firstLine="640" w:firstLineChars="200"/>
        <w:rPr>
          <w:rFonts w:hint="eastAsia" w:ascii="楷体" w:hAnsi="楷体" w:eastAsia="楷体" w:cs="宋体"/>
          <w:color w:val="333333"/>
          <w:sz w:val="32"/>
          <w:szCs w:val="32"/>
        </w:rPr>
      </w:pPr>
      <w:r>
        <w:rPr>
          <w:rFonts w:hint="eastAsia" w:ascii="楷体" w:hAnsi="楷体" w:eastAsia="楷体" w:cs="宋体"/>
          <w:color w:val="333333"/>
          <w:sz w:val="32"/>
          <w:szCs w:val="32"/>
        </w:rPr>
        <w:t>为吸引更多的学生读者走入图书馆，4月至6月，联合官渡区第一中学举办“我的青春·我的梦”书画比赛，共收到学生作品469幅，评出一等奖69人、二等奖78人、三等奖130人。</w:t>
      </w:r>
    </w:p>
    <w:p>
      <w:pPr>
        <w:spacing w:after="0" w:line="560" w:lineRule="exact"/>
        <w:ind w:firstLine="640" w:firstLineChars="200"/>
        <w:rPr>
          <w:rFonts w:hint="eastAsia" w:ascii="楷体" w:hAnsi="楷体" w:eastAsia="楷体" w:cs="宋体"/>
          <w:color w:val="333333"/>
          <w:sz w:val="32"/>
          <w:szCs w:val="32"/>
        </w:rPr>
      </w:pPr>
      <w:r>
        <w:rPr>
          <w:rFonts w:hint="eastAsia" w:ascii="楷体" w:hAnsi="楷体" w:eastAsia="楷体" w:cs="宋体"/>
          <w:color w:val="333333"/>
          <w:sz w:val="32"/>
          <w:szCs w:val="32"/>
        </w:rPr>
        <w:t>（三）举办讲座、展览、培训，多个阅读服务集成一体，推动文化阵地建设</w:t>
      </w:r>
    </w:p>
    <w:p>
      <w:pPr>
        <w:spacing w:after="0" w:line="560" w:lineRule="exact"/>
        <w:ind w:firstLine="640" w:firstLineChars="200"/>
        <w:rPr>
          <w:rFonts w:hint="eastAsia" w:ascii="楷体" w:hAnsi="楷体" w:eastAsia="楷体" w:cs="宋体"/>
          <w:color w:val="333333"/>
          <w:sz w:val="32"/>
          <w:szCs w:val="32"/>
        </w:rPr>
      </w:pPr>
      <w:r>
        <w:rPr>
          <w:rFonts w:hint="eastAsia" w:ascii="楷体" w:hAnsi="楷体" w:eastAsia="楷体" w:cs="宋体"/>
          <w:color w:val="333333"/>
          <w:sz w:val="32"/>
          <w:szCs w:val="32"/>
        </w:rPr>
        <w:t>1.举办“云秀讲坛”公益讲座，不断提高广大读者的文化水平</w:t>
      </w:r>
    </w:p>
    <w:p>
      <w:pPr>
        <w:spacing w:after="0" w:line="560" w:lineRule="exact"/>
        <w:ind w:firstLine="640" w:firstLineChars="200"/>
        <w:rPr>
          <w:rFonts w:hint="eastAsia" w:ascii="楷体" w:hAnsi="楷体" w:eastAsia="楷体" w:cs="宋体"/>
          <w:color w:val="333333"/>
          <w:sz w:val="32"/>
          <w:szCs w:val="32"/>
        </w:rPr>
      </w:pPr>
      <w:r>
        <w:rPr>
          <w:rFonts w:hint="eastAsia" w:ascii="楷体" w:hAnsi="楷体" w:eastAsia="楷体" w:cs="宋体"/>
          <w:color w:val="333333"/>
          <w:sz w:val="32"/>
          <w:szCs w:val="32"/>
        </w:rPr>
        <w:t>截至目前，共举办“云秀讲坛”公益讲座８期，内容涉及青少年普法守法教育，学习党的十九大精神宣传，文化自信与传统文化教育，新宪法解读，儿童心理健康等方面，参与听课人数为1600人，讲座免费送往辖区内的街道、社区、学校和机关，紧扣时代主题，取得了良好效果。剩余两期于11月底前完成。</w:t>
      </w:r>
    </w:p>
    <w:p>
      <w:pPr>
        <w:spacing w:after="0" w:line="560" w:lineRule="exact"/>
        <w:ind w:firstLine="640" w:firstLineChars="200"/>
        <w:rPr>
          <w:rFonts w:hint="eastAsia" w:ascii="楷体" w:hAnsi="楷体" w:eastAsia="楷体" w:cs="宋体"/>
          <w:color w:val="333333"/>
          <w:sz w:val="32"/>
          <w:szCs w:val="32"/>
        </w:rPr>
      </w:pPr>
      <w:r>
        <w:rPr>
          <w:rFonts w:hint="eastAsia" w:ascii="楷体" w:hAnsi="楷体" w:eastAsia="楷体" w:cs="宋体"/>
          <w:color w:val="333333"/>
          <w:sz w:val="32"/>
          <w:szCs w:val="32"/>
        </w:rPr>
        <w:t>2.举办主题展览及精品图书推荐，为读者营造浓厚的文化氛围</w:t>
      </w:r>
    </w:p>
    <w:p>
      <w:pPr>
        <w:spacing w:after="0" w:line="560" w:lineRule="exact"/>
        <w:ind w:firstLine="640" w:firstLineChars="200"/>
        <w:rPr>
          <w:rFonts w:hint="eastAsia" w:ascii="楷体" w:hAnsi="楷体" w:eastAsia="楷体" w:cs="宋体"/>
          <w:color w:val="333333"/>
          <w:sz w:val="32"/>
          <w:szCs w:val="32"/>
        </w:rPr>
      </w:pPr>
      <w:r>
        <w:rPr>
          <w:rFonts w:hint="eastAsia" w:ascii="楷体" w:hAnsi="楷体" w:eastAsia="楷体" w:cs="宋体"/>
          <w:color w:val="333333"/>
          <w:sz w:val="32"/>
          <w:szCs w:val="32"/>
        </w:rPr>
        <w:t>围绕图书馆新采购的优秀图书及结合节日主题，举办了13期“知识改变命运”、“春节的味道”、“缅怀先烈.爱党爱国”、“扫黑除恶  善美官渡”普法宣传等主题的精品图书推荐。举办“公共图书馆法”、“贯彻落实十九大精神建设社会主义新时代”、“腹有诗书气自华——中华传统文学经典作品阅读推荐”、“纪念改革开放40周年”等主题展览共7次。</w:t>
      </w:r>
    </w:p>
    <w:p>
      <w:pPr>
        <w:spacing w:after="0" w:line="560" w:lineRule="exact"/>
        <w:ind w:firstLine="640" w:firstLineChars="200"/>
        <w:rPr>
          <w:rFonts w:hint="eastAsia" w:ascii="楷体" w:hAnsi="楷体" w:eastAsia="楷体" w:cs="宋体"/>
          <w:color w:val="333333"/>
          <w:sz w:val="32"/>
          <w:szCs w:val="32"/>
        </w:rPr>
      </w:pPr>
      <w:r>
        <w:rPr>
          <w:rFonts w:hint="eastAsia" w:ascii="楷体" w:hAnsi="楷体" w:eastAsia="楷体" w:cs="宋体"/>
          <w:color w:val="333333"/>
          <w:sz w:val="32"/>
          <w:szCs w:val="32"/>
        </w:rPr>
        <w:t>　　3.针对不同群体，开设培训班，多渠道开展读者服务</w:t>
      </w:r>
    </w:p>
    <w:p>
      <w:pPr>
        <w:spacing w:after="0" w:line="560" w:lineRule="exact"/>
        <w:ind w:firstLine="640" w:firstLineChars="200"/>
        <w:rPr>
          <w:rFonts w:hint="eastAsia" w:ascii="楷体" w:hAnsi="楷体" w:eastAsia="楷体" w:cs="宋体"/>
          <w:color w:val="333333"/>
          <w:sz w:val="32"/>
          <w:szCs w:val="32"/>
        </w:rPr>
      </w:pPr>
      <w:r>
        <w:rPr>
          <w:rFonts w:hint="eastAsia" w:ascii="楷体" w:hAnsi="楷体" w:eastAsia="楷体" w:cs="宋体"/>
          <w:color w:val="333333"/>
          <w:sz w:val="32"/>
          <w:szCs w:val="32"/>
        </w:rPr>
        <w:t>一是对我区街道、社区文化专干，举办基层公共文化服务运行机制建设专题培训</w:t>
      </w:r>
    </w:p>
    <w:p>
      <w:pPr>
        <w:spacing w:after="0" w:line="560" w:lineRule="exact"/>
        <w:ind w:firstLine="640" w:firstLineChars="200"/>
        <w:rPr>
          <w:rFonts w:hint="eastAsia" w:ascii="楷体" w:hAnsi="楷体" w:eastAsia="楷体" w:cs="宋体"/>
          <w:color w:val="333333"/>
          <w:sz w:val="32"/>
          <w:szCs w:val="32"/>
        </w:rPr>
      </w:pPr>
      <w:r>
        <w:rPr>
          <w:rFonts w:hint="eastAsia" w:ascii="楷体" w:hAnsi="楷体" w:eastAsia="楷体" w:cs="宋体"/>
          <w:color w:val="333333"/>
          <w:sz w:val="32"/>
          <w:szCs w:val="32"/>
        </w:rPr>
        <w:t>8月6日-8月10日在图书馆开展了2018年基层公共文化服务运行机制建设暨基层文化专干培训，来自各街道、社区的126名文化骨干（含新招聘的文化专干）全程参加了培训。此次培训班为期5天,分为集中理论学习和外出观摩参观两部分。邀请了省、市、区相关专家授课,主要从官渡区基层公共文化服务运行机制建设及活动的组织展开；基层综合文化服务中心建设及档案管理;公文写作;基层图书馆、文化馆、博物馆工作规范及管理等方面组织培训。</w:t>
      </w:r>
    </w:p>
    <w:p>
      <w:pPr>
        <w:spacing w:after="0" w:line="560" w:lineRule="exact"/>
        <w:ind w:firstLine="640" w:firstLineChars="200"/>
        <w:rPr>
          <w:rFonts w:hint="eastAsia" w:ascii="楷体" w:hAnsi="楷体" w:eastAsia="楷体" w:cs="宋体"/>
          <w:color w:val="333333"/>
          <w:sz w:val="32"/>
          <w:szCs w:val="32"/>
        </w:rPr>
      </w:pPr>
      <w:r>
        <w:rPr>
          <w:rFonts w:hint="eastAsia" w:ascii="楷体" w:hAnsi="楷体" w:eastAsia="楷体" w:cs="宋体"/>
          <w:color w:val="333333"/>
          <w:sz w:val="32"/>
          <w:szCs w:val="32"/>
        </w:rPr>
        <w:t>二是对少儿读者及其家庭开展国际跳棋趣味培训</w:t>
      </w:r>
    </w:p>
    <w:p>
      <w:pPr>
        <w:spacing w:after="0" w:line="560" w:lineRule="exact"/>
        <w:ind w:firstLine="640" w:firstLineChars="200"/>
        <w:rPr>
          <w:rFonts w:hint="eastAsia" w:ascii="楷体" w:hAnsi="楷体" w:eastAsia="楷体" w:cs="宋体"/>
          <w:color w:val="333333"/>
          <w:sz w:val="32"/>
          <w:szCs w:val="32"/>
        </w:rPr>
      </w:pPr>
      <w:r>
        <w:rPr>
          <w:rFonts w:hint="eastAsia" w:ascii="楷体" w:hAnsi="楷体" w:eastAsia="楷体" w:cs="宋体"/>
          <w:color w:val="333333"/>
          <w:sz w:val="32"/>
          <w:szCs w:val="32"/>
        </w:rPr>
        <w:t>4月到5月的每个周日下午，持续开展国际跳棋培训，通过少儿读者喜爱的棋类活动培养少儿读者“守规则，输得起，敢于赢，有创意”的优秀品质，并开展棋书推荐和棋人小故事讲述。通过国际跳棋培训的引入，进一步承办了2018年“全国百城千县万乡全民棋牌推广工程”官渡区国际跳棋比赛。6月9日，区图书馆推荐的5名选手参加2018年“全国百城千县万乡全民棋牌推广工程”云南省启动仪式，获得第二名和第三名的好成绩。扩大了区图书馆的影响力，吸引了云南省棋界对图书馆的关注。自11月10日起至２月２日，官渡区图书馆还将在周六、周天开展３期以“国际跳棋入门课程”、“棋人趣事”、“棋书推荐”、“对局训练”、“手工制作家庭专属棋具”为主题的国际跳棋培训。</w:t>
      </w:r>
    </w:p>
    <w:p>
      <w:pPr>
        <w:spacing w:after="0" w:line="560" w:lineRule="exact"/>
        <w:ind w:firstLine="640" w:firstLineChars="200"/>
        <w:rPr>
          <w:rFonts w:hint="eastAsia" w:ascii="楷体" w:hAnsi="楷体" w:eastAsia="楷体" w:cs="宋体"/>
          <w:color w:val="333333"/>
          <w:sz w:val="32"/>
          <w:szCs w:val="32"/>
        </w:rPr>
      </w:pPr>
      <w:r>
        <w:rPr>
          <w:rFonts w:hint="eastAsia" w:ascii="楷体" w:hAnsi="楷体" w:eastAsia="楷体" w:cs="宋体"/>
          <w:color w:val="333333"/>
          <w:sz w:val="32"/>
          <w:szCs w:val="32"/>
        </w:rPr>
        <w:t>　　官渡区图书馆用棋艺吸引少儿读者，用阅读帮助读者提高棋艺，用趣味比赛促进家庭亲子关系，探索出一条“书香·棋韵·亲情”融合的阅读推广和棋艺普及之路。</w:t>
      </w:r>
    </w:p>
    <w:p>
      <w:pPr>
        <w:spacing w:after="0" w:line="560" w:lineRule="exact"/>
        <w:ind w:firstLine="640" w:firstLineChars="200"/>
        <w:rPr>
          <w:rFonts w:hint="eastAsia" w:ascii="楷体" w:hAnsi="楷体" w:eastAsia="楷体" w:cs="宋体"/>
          <w:color w:val="333333"/>
          <w:sz w:val="32"/>
          <w:szCs w:val="32"/>
        </w:rPr>
      </w:pPr>
      <w:r>
        <w:rPr>
          <w:rFonts w:hint="eastAsia" w:ascii="楷体" w:hAnsi="楷体" w:eastAsia="楷体" w:cs="宋体"/>
          <w:color w:val="333333"/>
          <w:sz w:val="32"/>
          <w:szCs w:val="32"/>
        </w:rPr>
        <w:t>　　三是对成年人，开展中国舞、拉丁舞、瑜伽培训</w:t>
      </w:r>
    </w:p>
    <w:p>
      <w:pPr>
        <w:spacing w:after="0" w:line="560" w:lineRule="exact"/>
        <w:ind w:firstLine="640" w:firstLineChars="200"/>
        <w:rPr>
          <w:rFonts w:hint="eastAsia" w:ascii="楷体" w:hAnsi="楷体" w:eastAsia="楷体" w:cs="宋体"/>
          <w:color w:val="333333"/>
          <w:sz w:val="32"/>
          <w:szCs w:val="32"/>
        </w:rPr>
      </w:pPr>
      <w:r>
        <w:rPr>
          <w:rFonts w:hint="eastAsia" w:ascii="楷体" w:hAnsi="楷体" w:eastAsia="楷体" w:cs="宋体"/>
          <w:color w:val="333333"/>
          <w:sz w:val="32"/>
          <w:szCs w:val="32"/>
        </w:rPr>
        <w:t>每周一、三、五的中午和二、四的下午在舞蹈教室开展瑜伽培训；每周一的下午、周二中午和周四的中午开展中国舞培训；每周二、周四下午开展拉丁舞培训。</w:t>
      </w:r>
    </w:p>
    <w:p/>
    <w:p>
      <w:pPr>
        <w:rPr>
          <w:rFonts w:asciiTheme="majorHAnsi" w:hAnsiTheme="majorHAnsi" w:eastAsiaTheme="majorEastAsia" w:cstheme="majorBidi"/>
          <w:color w:val="BE8F00" w:themeColor="accent1" w:themeShade="BF"/>
          <w:sz w:val="40"/>
          <w:szCs w:val="40"/>
        </w:rPr>
      </w:pPr>
      <w:r>
        <w:br w:type="page"/>
      </w:r>
    </w:p>
    <w:p>
      <w:pPr>
        <w:pStyle w:val="2"/>
        <w:numPr>
          <w:ilvl w:val="0"/>
          <w:numId w:val="1"/>
        </w:numPr>
        <w:jc w:val="left"/>
        <w:rPr>
          <w:rFonts w:hint="eastAsia"/>
          <w:lang w:eastAsia="zh-CN"/>
        </w:rPr>
      </w:pPr>
      <w:r>
        <w:rPr>
          <w:rFonts w:hint="eastAsia"/>
          <w:lang w:eastAsia="zh-CN"/>
        </w:rPr>
        <w:t>相关数据</w:t>
      </w:r>
    </w:p>
    <w:p>
      <w:pPr>
        <w:numPr>
          <w:numId w:val="0"/>
        </w:numPr>
      </w:pPr>
      <w:r>
        <w:rPr>
          <w:rFonts w:hint="default" w:ascii="宋体" w:hAnsi="宋体" w:eastAsia="宋体" w:cs="宋体"/>
          <w:szCs w:val="21"/>
          <w:lang w:val="en-US" w:eastAsia="zh-CN"/>
        </w:rPr>
        <w:drawing>
          <wp:inline distT="0" distB="0" distL="114300" distR="114300">
            <wp:extent cx="6245225" cy="3802380"/>
            <wp:effectExtent l="0" t="0" r="3175" b="7620"/>
            <wp:docPr id="11" name="图片 11" descr="2018年年报官网公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018年年报官网公示"/>
                    <pic:cNvPicPr>
                      <a:picLocks noChangeAspect="1"/>
                    </pic:cNvPicPr>
                  </pic:nvPicPr>
                  <pic:blipFill>
                    <a:blip r:embed="rId7"/>
                    <a:stretch>
                      <a:fillRect/>
                    </a:stretch>
                  </pic:blipFill>
                  <pic:spPr>
                    <a:xfrm>
                      <a:off x="0" y="0"/>
                      <a:ext cx="6245225" cy="3802380"/>
                    </a:xfrm>
                    <a:prstGeom prst="rect">
                      <a:avLst/>
                    </a:prstGeom>
                  </pic:spPr>
                </pic:pic>
              </a:graphicData>
            </a:graphic>
          </wp:inline>
        </w:drawing>
      </w:r>
    </w:p>
    <w:p>
      <w:pPr>
        <w:rPr>
          <w:rFonts w:hint="eastAsia"/>
        </w:rPr>
      </w:pPr>
      <w:bookmarkStart w:id="3" w:name="_Toc108763472"/>
      <w:r>
        <w:rPr>
          <w:rFonts w:hint="eastAsia"/>
        </w:rPr>
        <w:br w:type="page"/>
      </w:r>
    </w:p>
    <w:p>
      <w:pPr>
        <w:pStyle w:val="2"/>
        <w:jc w:val="left"/>
      </w:pPr>
      <w:r>
        <w:rPr>
          <w:rFonts w:hint="eastAsia"/>
          <w:lang w:eastAsia="zh-CN"/>
        </w:rPr>
        <w:t>三</w:t>
      </w:r>
      <w:r>
        <w:rPr>
          <w:rFonts w:hint="eastAsia"/>
        </w:rPr>
        <w:t>、图书馆部门组织</w:t>
      </w:r>
      <w:bookmarkEnd w:id="3"/>
    </w:p>
    <w:p>
      <w:pPr>
        <w:pStyle w:val="3"/>
        <w:jc w:val="left"/>
        <w:rPr>
          <w:b/>
        </w:rPr>
      </w:pPr>
      <w:bookmarkStart w:id="4" w:name="_Toc108763473"/>
      <w:r>
        <w:rPr>
          <w:b/>
        </w:rPr>
        <w:t xml:space="preserve"> </w:t>
      </w:r>
      <w:r>
        <w:rPr>
          <w:rFonts w:hint="eastAsia"/>
          <w:b/>
        </w:rPr>
        <w:t>图书馆部门简介</w:t>
      </w:r>
      <w:bookmarkEnd w:id="4"/>
    </w:p>
    <w:p>
      <w:r>
        <w:drawing>
          <wp:inline distT="0" distB="0" distL="0" distR="0">
            <wp:extent cx="5274310" cy="7540625"/>
            <wp:effectExtent l="19050" t="0" r="21590" b="0"/>
            <wp:docPr id="2" name="图示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pPr>
        <w:rPr>
          <w:rFonts w:asciiTheme="majorHAnsi" w:hAnsiTheme="majorHAnsi" w:eastAsiaTheme="majorEastAsia" w:cstheme="majorBidi"/>
          <w:color w:val="BE8F00" w:themeColor="accent1" w:themeShade="BF"/>
          <w:sz w:val="40"/>
          <w:szCs w:val="40"/>
        </w:rPr>
      </w:pPr>
      <w:r>
        <w:br w:type="page"/>
      </w:r>
    </w:p>
    <w:p>
      <w:pPr>
        <w:pStyle w:val="2"/>
        <w:jc w:val="left"/>
      </w:pPr>
      <w:bookmarkStart w:id="5" w:name="_Toc108763477"/>
      <w:r>
        <w:rPr>
          <w:rFonts w:hint="eastAsia"/>
          <w:lang w:eastAsia="zh-CN"/>
        </w:rPr>
        <w:t>四</w:t>
      </w:r>
      <w:r>
        <w:rPr>
          <w:rFonts w:hint="eastAsia"/>
        </w:rPr>
        <w:t>、网站和自媒体建设</w:t>
      </w:r>
      <w:bookmarkEnd w:id="5"/>
    </w:p>
    <w:p>
      <w:pPr>
        <w:rPr>
          <w:rFonts w:ascii="楷体" w:hAnsi="楷体" w:eastAsia="楷体" w:cstheme="majorBidi"/>
          <w:b/>
          <w:color w:val="2C2C2C" w:themeColor="text1"/>
          <w:sz w:val="40"/>
          <w:szCs w:val="40"/>
        </w:rPr>
      </w:pPr>
      <w:r>
        <w:rPr>
          <w:rFonts w:hint="eastAsia" w:ascii="楷体" w:hAnsi="楷体" w:eastAsia="楷体" w:cstheme="majorBidi"/>
          <w:b/>
          <w:color w:val="2C2C2C" w:themeColor="text1"/>
          <w:sz w:val="40"/>
          <w:szCs w:val="40"/>
        </w:rPr>
        <w:t>网站：</w:t>
      </w:r>
      <w:r>
        <w:rPr>
          <w:rFonts w:ascii="楷体" w:hAnsi="楷体" w:eastAsia="楷体" w:cstheme="majorBidi"/>
          <w:b/>
          <w:color w:val="2C2C2C" w:themeColor="text1"/>
          <w:sz w:val="40"/>
          <w:szCs w:val="40"/>
        </w:rPr>
        <w:t>gdqlib.c</w:t>
      </w:r>
      <w:r>
        <w:rPr>
          <w:rFonts w:hint="eastAsia" w:ascii="楷体" w:hAnsi="楷体" w:eastAsia="楷体" w:cstheme="majorBidi"/>
          <w:b/>
          <w:color w:val="2C2C2C" w:themeColor="text1"/>
          <w:sz w:val="40"/>
          <w:szCs w:val="40"/>
        </w:rPr>
        <w:t>n</w:t>
      </w:r>
    </w:p>
    <w:p>
      <w:pPr>
        <w:rPr>
          <w:rFonts w:ascii="楷体" w:hAnsi="楷体" w:eastAsia="楷体" w:cstheme="majorBidi"/>
          <w:color w:val="2C2C2C" w:themeColor="text1"/>
          <w:sz w:val="40"/>
          <w:szCs w:val="40"/>
        </w:rPr>
      </w:pPr>
      <w:r>
        <w:rPr>
          <w:rFonts w:hint="eastAsia" w:ascii="楷体" w:hAnsi="楷体" w:eastAsia="楷体" w:cstheme="majorBidi"/>
          <w:color w:val="2C2C2C" w:themeColor="text1"/>
          <w:sz w:val="40"/>
          <w:szCs w:val="40"/>
        </w:rPr>
        <w:drawing>
          <wp:inline distT="0" distB="0" distL="0" distR="0">
            <wp:extent cx="5274310" cy="2908300"/>
            <wp:effectExtent l="0" t="0" r="2540" b="6350"/>
            <wp:docPr id="453" name="图片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图片 45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2908300"/>
                    </a:xfrm>
                    <a:prstGeom prst="rect">
                      <a:avLst/>
                    </a:prstGeom>
                  </pic:spPr>
                </pic:pic>
              </a:graphicData>
            </a:graphic>
          </wp:inline>
        </w:drawing>
      </w:r>
    </w:p>
    <w:p>
      <w:pPr>
        <w:rPr>
          <w:rFonts w:ascii="楷体" w:hAnsi="楷体" w:eastAsia="楷体" w:cstheme="majorBidi"/>
          <w:color w:val="2C2C2C" w:themeColor="text1"/>
          <w:sz w:val="40"/>
          <w:szCs w:val="40"/>
        </w:rPr>
      </w:pPr>
      <w:r>
        <w:rPr>
          <w:rFonts w:hint="eastAsia" w:ascii="楷体" w:hAnsi="楷体" w:eastAsia="楷体" w:cstheme="majorBidi"/>
          <w:b/>
          <w:color w:val="2C2C2C" w:themeColor="text1"/>
          <w:sz w:val="40"/>
          <w:szCs w:val="40"/>
        </w:rPr>
        <w:t>微信公众号：昆明市官渡区图书馆</w:t>
      </w:r>
      <w:r>
        <w:rPr>
          <w:rFonts w:ascii="楷体" w:hAnsi="楷体" w:eastAsia="楷体" w:cstheme="majorBidi"/>
          <w:color w:val="2C2C2C" w:themeColor="text1"/>
          <w:sz w:val="40"/>
          <w:szCs w:val="40"/>
        </w:rPr>
        <w:drawing>
          <wp:inline distT="0" distB="0" distL="0" distR="0">
            <wp:extent cx="3781425" cy="8181340"/>
            <wp:effectExtent l="0" t="0" r="9525" b="0"/>
            <wp:docPr id="454" name="图片 454" descr="C:\Users\macbook\AppData\Local\Temp\WeChat Files\4b8f35782775745281793774db19e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图片 454" descr="C:\Users\macbook\AppData\Local\Temp\WeChat Files\4b8f35782775745281793774db19e3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797885" cy="8216371"/>
                    </a:xfrm>
                    <a:prstGeom prst="rect">
                      <a:avLst/>
                    </a:prstGeom>
                    <a:noFill/>
                    <a:ln>
                      <a:noFill/>
                    </a:ln>
                  </pic:spPr>
                </pic:pic>
              </a:graphicData>
            </a:graphic>
          </wp:inline>
        </w:drawing>
      </w:r>
    </w:p>
    <w:p>
      <w:pPr>
        <w:rPr>
          <w:rFonts w:ascii="楷体" w:hAnsi="楷体" w:eastAsia="楷体" w:cstheme="majorBidi"/>
          <w:b/>
          <w:color w:val="2C2C2C" w:themeColor="text1"/>
          <w:sz w:val="40"/>
          <w:szCs w:val="40"/>
        </w:rPr>
      </w:pPr>
      <w:r>
        <w:rPr>
          <w:rFonts w:hint="eastAsia" w:ascii="楷体" w:hAnsi="楷体" w:eastAsia="楷体" w:cstheme="majorBidi"/>
          <w:b/>
          <w:color w:val="2C2C2C" w:themeColor="text1"/>
          <w:sz w:val="40"/>
          <w:szCs w:val="40"/>
        </w:rPr>
        <w:t>新浪微博：昆明市官渡区图书馆</w:t>
      </w:r>
    </w:p>
    <w:p>
      <w:pPr>
        <w:rPr>
          <w:rFonts w:ascii="楷体" w:hAnsi="楷体" w:eastAsia="楷体" w:cstheme="majorBidi"/>
          <w:color w:val="2C2C2C" w:themeColor="text1"/>
          <w:sz w:val="40"/>
          <w:szCs w:val="40"/>
        </w:rPr>
      </w:pPr>
      <w:r>
        <w:rPr>
          <w:rFonts w:hint="eastAsia" w:ascii="楷体" w:hAnsi="楷体" w:eastAsia="楷体" w:cstheme="majorBidi"/>
          <w:color w:val="2C2C2C" w:themeColor="text1"/>
          <w:sz w:val="40"/>
          <w:szCs w:val="40"/>
        </w:rPr>
        <w:drawing>
          <wp:inline distT="0" distB="0" distL="0" distR="0">
            <wp:extent cx="5274310" cy="6991350"/>
            <wp:effectExtent l="0" t="0" r="2540" b="0"/>
            <wp:docPr id="455" name="图片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图片 455"/>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274310" cy="6991350"/>
                    </a:xfrm>
                    <a:prstGeom prst="rect">
                      <a:avLst/>
                    </a:prstGeom>
                  </pic:spPr>
                </pic:pic>
              </a:graphicData>
            </a:graphic>
          </wp:inline>
        </w:drawing>
      </w:r>
    </w:p>
    <w:p>
      <w:pPr>
        <w:rPr>
          <w:rFonts w:ascii="楷体" w:hAnsi="楷体" w:eastAsia="楷体" w:cstheme="majorBidi"/>
          <w:color w:val="2C2C2C" w:themeColor="text1"/>
          <w:sz w:val="40"/>
          <w:szCs w:val="40"/>
        </w:rPr>
      </w:pPr>
      <w:r>
        <w:rPr>
          <w:rFonts w:hint="eastAsia" w:ascii="楷体" w:hAnsi="楷体" w:eastAsia="楷体" w:cstheme="majorBidi"/>
          <w:color w:val="2C2C2C" w:themeColor="text1"/>
          <w:sz w:val="40"/>
          <w:szCs w:val="40"/>
        </w:rPr>
        <w:drawing>
          <wp:inline distT="0" distB="0" distL="0" distR="0">
            <wp:extent cx="4095115" cy="8863330"/>
            <wp:effectExtent l="0" t="0" r="635" b="0"/>
            <wp:docPr id="456" name="图片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图片 456"/>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095115" cy="8863330"/>
                    </a:xfrm>
                    <a:prstGeom prst="rect">
                      <a:avLst/>
                    </a:prstGeom>
                  </pic:spPr>
                </pic:pic>
              </a:graphicData>
            </a:graphic>
          </wp:inline>
        </w:drawing>
      </w:r>
    </w:p>
    <w:p>
      <w:pPr>
        <w:pStyle w:val="2"/>
        <w:jc w:val="left"/>
      </w:pPr>
      <w:bookmarkStart w:id="6" w:name="_Toc108763478"/>
      <w:r>
        <w:rPr>
          <w:rFonts w:hint="eastAsia"/>
          <w:lang w:eastAsia="zh-CN"/>
        </w:rPr>
        <w:t>五</w:t>
      </w:r>
      <w:r>
        <w:rPr>
          <w:rFonts w:hint="eastAsia"/>
        </w:rPr>
        <w:t>、2</w:t>
      </w:r>
      <w:r>
        <w:t>0</w:t>
      </w:r>
      <w:r>
        <w:rPr>
          <w:rFonts w:hint="eastAsia"/>
          <w:lang w:val="en-US" w:eastAsia="zh-CN"/>
        </w:rPr>
        <w:t>19</w:t>
      </w:r>
      <w:r>
        <w:rPr>
          <w:rFonts w:hint="eastAsia"/>
        </w:rPr>
        <w:t>年度计划</w:t>
      </w:r>
      <w:bookmarkEnd w:id="6"/>
    </w:p>
    <w:p>
      <w:pPr>
        <w:rPr>
          <w:rFonts w:hint="eastAsia" w:ascii="楷体" w:hAnsi="楷体" w:eastAsia="楷体" w:cs="仿宋_GB2312"/>
          <w:sz w:val="32"/>
          <w:szCs w:val="32"/>
        </w:rPr>
      </w:pPr>
      <w:r>
        <w:rPr>
          <w:rFonts w:hint="eastAsia" w:ascii="楷体" w:hAnsi="楷体" w:eastAsia="楷体" w:cs="仿宋_GB2312"/>
          <w:sz w:val="32"/>
          <w:szCs w:val="32"/>
          <w:lang w:eastAsia="zh-CN"/>
        </w:rPr>
        <w:t>　　</w:t>
      </w:r>
      <w:r>
        <w:rPr>
          <w:rFonts w:hint="eastAsia" w:ascii="楷体" w:hAnsi="楷体" w:eastAsia="楷体" w:cs="仿宋_GB2312"/>
          <w:sz w:val="32"/>
          <w:szCs w:val="32"/>
        </w:rPr>
        <w:t>2019年，官渡区图书馆主要工作计划：</w:t>
      </w:r>
    </w:p>
    <w:p>
      <w:pPr>
        <w:rPr>
          <w:rFonts w:hint="eastAsia" w:ascii="楷体" w:hAnsi="楷体" w:eastAsia="楷体" w:cs="仿宋_GB2312"/>
          <w:sz w:val="32"/>
          <w:szCs w:val="32"/>
        </w:rPr>
      </w:pPr>
      <w:r>
        <w:rPr>
          <w:rFonts w:hint="eastAsia" w:ascii="楷体" w:hAnsi="楷体" w:eastAsia="楷体" w:cs="仿宋_GB2312"/>
          <w:sz w:val="32"/>
          <w:szCs w:val="32"/>
        </w:rPr>
        <w:t>一是按照《关于推进县级文化馆图书馆总分馆制建设的实施意见的通知》（云文发[2018]8号）要求，推进图书馆总分馆制建设。二是根据党中央、国务院关于倡导和开展全民阅读的战略部署，开展系列“声阅读”活动，以“声阅读”促进深阅读，深入推进全民阅读工作，积极营造书香官渡的良好学习氛围。三是策划开展好读者活动，吸引更多的读者特别是未成年人读者走进图书馆参与到全民阅读中。四是继续做好图书馆图书流通、新书好书推荐、“云秀讲坛”公益讲座、展览等免费开放工作。五是继续做好文明城市创建工作。</w:t>
      </w:r>
    </w:p>
    <w:sectPr>
      <w:footerReference r:id="rId5" w:type="default"/>
      <w:pgSz w:w="11906" w:h="16838"/>
      <w:pgMar w:top="1440" w:right="1800" w:bottom="1440" w:left="1800" w:header="851" w:footer="992" w:gutter="0"/>
      <w:pgNumType w:start="0"/>
      <w:cols w:space="425" w:num="1"/>
      <w:titlePg/>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orbel">
    <w:panose1 w:val="020B0503020204020204"/>
    <w:charset w:val="00"/>
    <w:family w:val="swiss"/>
    <w:pitch w:val="default"/>
    <w:sig w:usb0="A00002EF" w:usb1="4000A44B" w:usb2="00000000" w:usb3="00000000" w:csb0="2000019F" w:csb1="00000000"/>
  </w:font>
  <w:font w:name="楷体">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_GB2312">
    <w:panose1 w:val="02010609030101010101"/>
    <w:charset w:val="86"/>
    <w:family w:val="auto"/>
    <w:pitch w:val="default"/>
    <w:sig w:usb0="00000001" w:usb1="080E0000" w:usb2="00000000" w:usb3="00000000" w:csb0="00040000" w:csb1="00000000"/>
  </w:font>
  <w:font w:name="Arial">
    <w:panose1 w:val="020B0604020202020204"/>
    <w:charset w:val="00"/>
    <w:family w:val="swiss"/>
    <w:pitch w:val="default"/>
    <w:sig w:usb0="E0002AFF" w:usb1="C0007843" w:usb2="00000009" w:usb3="00000000" w:csb0="400001FF" w:csb1="FFFF0000"/>
  </w:font>
  <w:font w:name="微软雅黑">
    <w:panose1 w:val="020B0503020204020204"/>
    <w:charset w:val="86"/>
    <w:family w:val="swiss"/>
    <w:pitch w:val="default"/>
    <w:sig w:usb0="80000287" w:usb1="280F3C52" w:usb2="00000016" w:usb3="00000000" w:csb0="0004001F" w:csb1="00000000"/>
  </w:font>
  <w:font w:name="方正楷体_GBK">
    <w:altName w:val="Arial Unicode MS"/>
    <w:panose1 w:val="00000000000000000000"/>
    <w:charset w:val="86"/>
    <w:family w:val="auto"/>
    <w:pitch w:val="default"/>
    <w:sig w:usb0="00000000" w:usb1="00000000" w:usb2="00000000" w:usb3="00000000" w:csb0="00040000" w:csb1="00000000"/>
  </w:font>
  <w:font w:name="方正小标宋简体">
    <w:panose1 w:val="02010601030101010101"/>
    <w:charset w:val="86"/>
    <w:family w:val="script"/>
    <w:pitch w:val="default"/>
    <w:sig w:usb0="00000001" w:usb1="080E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97137720"/>
      <w:docPartObj>
        <w:docPartGallery w:val="AutoText"/>
      </w:docPartObj>
    </w:sdtPr>
    <w:sdtContent>
      <w:p>
        <w:pPr>
          <w:pStyle w:val="14"/>
          <w:jc w:val="center"/>
        </w:pPr>
        <w:r>
          <w:fldChar w:fldCharType="begin"/>
        </w:r>
        <w:r>
          <w:instrText xml:space="preserve">PAGE   \* MERGEFORMAT</w:instrText>
        </w:r>
        <w:r>
          <w:fldChar w:fldCharType="separate"/>
        </w:r>
        <w:r>
          <w:rPr>
            <w:lang w:val="zh-CN"/>
          </w:rPr>
          <w:t>3</w:t>
        </w:r>
        <w:r>
          <w:rPr>
            <w:lang w:val="zh-CN"/>
          </w:rPr>
          <w:fldChar w:fldCharType="end"/>
        </w:r>
      </w:p>
    </w:sdtContent>
  </w:sdt>
  <w:p>
    <w:pPr>
      <w:pStyle w:val="1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00" w:lineRule="auto"/>
      </w:pPr>
      <w:r>
        <w:separator/>
      </w:r>
    </w:p>
  </w:footnote>
  <w:footnote w:type="continuationSeparator" w:id="1">
    <w:p>
      <w:pPr>
        <w:spacing w:before="0" w:after="0" w:line="30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9DE2649"/>
    <w:multiLevelType w:val="singleLevel"/>
    <w:tmpl w:val="19DE2649"/>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IwZjQ1MGY2MzRmZDA2YzhiMjA2MTNiNDM2M2RkODMifQ=="/>
  </w:docVars>
  <w:rsids>
    <w:rsidRoot w:val="00C353D2"/>
    <w:rsid w:val="000544F1"/>
    <w:rsid w:val="00067F4F"/>
    <w:rsid w:val="000B68AB"/>
    <w:rsid w:val="000F4B44"/>
    <w:rsid w:val="001A70B6"/>
    <w:rsid w:val="002376A7"/>
    <w:rsid w:val="002D283E"/>
    <w:rsid w:val="003257E6"/>
    <w:rsid w:val="0033664B"/>
    <w:rsid w:val="003E1685"/>
    <w:rsid w:val="005443D1"/>
    <w:rsid w:val="00562FEC"/>
    <w:rsid w:val="00571F3E"/>
    <w:rsid w:val="0058503C"/>
    <w:rsid w:val="0060603B"/>
    <w:rsid w:val="00633F13"/>
    <w:rsid w:val="006602F6"/>
    <w:rsid w:val="006723A0"/>
    <w:rsid w:val="006B1CB4"/>
    <w:rsid w:val="00722531"/>
    <w:rsid w:val="00784C1A"/>
    <w:rsid w:val="007D5BAF"/>
    <w:rsid w:val="00900D57"/>
    <w:rsid w:val="009239CB"/>
    <w:rsid w:val="00972E47"/>
    <w:rsid w:val="00977FEE"/>
    <w:rsid w:val="00982DD6"/>
    <w:rsid w:val="00993A89"/>
    <w:rsid w:val="00A6071E"/>
    <w:rsid w:val="00A63622"/>
    <w:rsid w:val="00A87492"/>
    <w:rsid w:val="00A92848"/>
    <w:rsid w:val="00A97455"/>
    <w:rsid w:val="00AF73FC"/>
    <w:rsid w:val="00B46ABB"/>
    <w:rsid w:val="00C353D2"/>
    <w:rsid w:val="00CB7BAE"/>
    <w:rsid w:val="00CC67DA"/>
    <w:rsid w:val="00CD2114"/>
    <w:rsid w:val="00D4036D"/>
    <w:rsid w:val="00D72083"/>
    <w:rsid w:val="00E3127B"/>
    <w:rsid w:val="00E93697"/>
    <w:rsid w:val="00EA0A1A"/>
    <w:rsid w:val="00F41E81"/>
    <w:rsid w:val="00F470B4"/>
    <w:rsid w:val="00F564EA"/>
    <w:rsid w:val="00FB65E6"/>
    <w:rsid w:val="06F023F2"/>
    <w:rsid w:val="11AC7198"/>
    <w:rsid w:val="1AC27242"/>
    <w:rsid w:val="28C8445F"/>
    <w:rsid w:val="28DA4193"/>
    <w:rsid w:val="295E6B72"/>
    <w:rsid w:val="308B2942"/>
    <w:rsid w:val="34713BFD"/>
    <w:rsid w:val="45D746D7"/>
    <w:rsid w:val="51452242"/>
    <w:rsid w:val="52657C81"/>
    <w:rsid w:val="55DD6EED"/>
    <w:rsid w:val="57BD10A8"/>
    <w:rsid w:val="64D447D6"/>
    <w:rsid w:val="6D72281F"/>
    <w:rsid w:val="77EA5AE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300" w:lineRule="auto"/>
    </w:pPr>
    <w:rPr>
      <w:rFonts w:asciiTheme="minorHAnsi" w:hAnsiTheme="minorHAnsi" w:eastAsiaTheme="minorEastAsia" w:cstheme="minorBidi"/>
      <w:sz w:val="21"/>
      <w:szCs w:val="21"/>
      <w:lang w:val="en-US" w:eastAsia="zh-CN" w:bidi="ar-SA"/>
    </w:rPr>
  </w:style>
  <w:style w:type="paragraph" w:styleId="2">
    <w:name w:val="heading 1"/>
    <w:basedOn w:val="1"/>
    <w:next w:val="1"/>
    <w:link w:val="28"/>
    <w:qFormat/>
    <w:uiPriority w:val="9"/>
    <w:pPr>
      <w:keepNext/>
      <w:keepLines/>
      <w:spacing w:before="320" w:after="80" w:line="240" w:lineRule="auto"/>
      <w:jc w:val="center"/>
      <w:outlineLvl w:val="0"/>
    </w:pPr>
    <w:rPr>
      <w:rFonts w:asciiTheme="majorHAnsi" w:hAnsiTheme="majorHAnsi" w:eastAsiaTheme="majorEastAsia" w:cstheme="majorBidi"/>
      <w:color w:val="BE8F00" w:themeColor="accent1" w:themeShade="BF"/>
      <w:sz w:val="40"/>
      <w:szCs w:val="40"/>
    </w:rPr>
  </w:style>
  <w:style w:type="paragraph" w:styleId="3">
    <w:name w:val="heading 2"/>
    <w:basedOn w:val="1"/>
    <w:next w:val="1"/>
    <w:link w:val="29"/>
    <w:unhideWhenUsed/>
    <w:qFormat/>
    <w:uiPriority w:val="9"/>
    <w:pPr>
      <w:keepNext/>
      <w:keepLines/>
      <w:spacing w:before="160" w:after="40" w:line="240" w:lineRule="auto"/>
      <w:jc w:val="center"/>
      <w:outlineLvl w:val="1"/>
    </w:pPr>
    <w:rPr>
      <w:rFonts w:asciiTheme="majorHAnsi" w:hAnsiTheme="majorHAnsi" w:eastAsiaTheme="majorEastAsia" w:cstheme="majorBidi"/>
      <w:sz w:val="32"/>
      <w:szCs w:val="32"/>
    </w:rPr>
  </w:style>
  <w:style w:type="paragraph" w:styleId="4">
    <w:name w:val="heading 3"/>
    <w:basedOn w:val="1"/>
    <w:next w:val="1"/>
    <w:link w:val="30"/>
    <w:semiHidden/>
    <w:unhideWhenUsed/>
    <w:qFormat/>
    <w:uiPriority w:val="9"/>
    <w:pPr>
      <w:keepNext/>
      <w:keepLines/>
      <w:spacing w:before="160" w:after="0" w:line="240" w:lineRule="auto"/>
      <w:outlineLvl w:val="2"/>
    </w:pPr>
    <w:rPr>
      <w:rFonts w:asciiTheme="majorHAnsi" w:hAnsiTheme="majorHAnsi" w:eastAsiaTheme="majorEastAsia" w:cstheme="majorBidi"/>
      <w:sz w:val="32"/>
      <w:szCs w:val="32"/>
    </w:rPr>
  </w:style>
  <w:style w:type="paragraph" w:styleId="5">
    <w:name w:val="heading 4"/>
    <w:basedOn w:val="1"/>
    <w:next w:val="1"/>
    <w:link w:val="31"/>
    <w:semiHidden/>
    <w:unhideWhenUsed/>
    <w:qFormat/>
    <w:uiPriority w:val="9"/>
    <w:pPr>
      <w:keepNext/>
      <w:keepLines/>
      <w:spacing w:before="80" w:after="0"/>
      <w:outlineLvl w:val="3"/>
    </w:pPr>
    <w:rPr>
      <w:rFonts w:asciiTheme="majorHAnsi" w:hAnsiTheme="majorHAnsi" w:eastAsiaTheme="majorEastAsia" w:cstheme="majorBidi"/>
      <w:i/>
      <w:iCs/>
      <w:sz w:val="30"/>
      <w:szCs w:val="30"/>
    </w:rPr>
  </w:style>
  <w:style w:type="paragraph" w:styleId="6">
    <w:name w:val="heading 5"/>
    <w:basedOn w:val="1"/>
    <w:next w:val="1"/>
    <w:link w:val="32"/>
    <w:semiHidden/>
    <w:unhideWhenUsed/>
    <w:qFormat/>
    <w:uiPriority w:val="9"/>
    <w:pPr>
      <w:keepNext/>
      <w:keepLines/>
      <w:spacing w:before="40" w:after="0"/>
      <w:outlineLvl w:val="4"/>
    </w:pPr>
    <w:rPr>
      <w:rFonts w:asciiTheme="majorHAnsi" w:hAnsiTheme="majorHAnsi" w:eastAsiaTheme="majorEastAsia" w:cstheme="majorBidi"/>
      <w:sz w:val="28"/>
      <w:szCs w:val="28"/>
    </w:rPr>
  </w:style>
  <w:style w:type="paragraph" w:styleId="7">
    <w:name w:val="heading 6"/>
    <w:basedOn w:val="1"/>
    <w:next w:val="1"/>
    <w:link w:val="33"/>
    <w:semiHidden/>
    <w:unhideWhenUsed/>
    <w:qFormat/>
    <w:uiPriority w:val="9"/>
    <w:pPr>
      <w:keepNext/>
      <w:keepLines/>
      <w:spacing w:before="40" w:after="0"/>
      <w:outlineLvl w:val="5"/>
    </w:pPr>
    <w:rPr>
      <w:rFonts w:asciiTheme="majorHAnsi" w:hAnsiTheme="majorHAnsi" w:eastAsiaTheme="majorEastAsia" w:cstheme="majorBidi"/>
      <w:i/>
      <w:iCs/>
      <w:sz w:val="26"/>
      <w:szCs w:val="26"/>
    </w:rPr>
  </w:style>
  <w:style w:type="paragraph" w:styleId="8">
    <w:name w:val="heading 7"/>
    <w:basedOn w:val="1"/>
    <w:next w:val="1"/>
    <w:link w:val="34"/>
    <w:semiHidden/>
    <w:unhideWhenUsed/>
    <w:qFormat/>
    <w:uiPriority w:val="9"/>
    <w:pPr>
      <w:keepNext/>
      <w:keepLines/>
      <w:spacing w:before="40" w:after="0"/>
      <w:outlineLvl w:val="6"/>
    </w:pPr>
    <w:rPr>
      <w:rFonts w:asciiTheme="majorHAnsi" w:hAnsiTheme="majorHAnsi" w:eastAsiaTheme="majorEastAsia" w:cstheme="majorBidi"/>
      <w:sz w:val="24"/>
      <w:szCs w:val="24"/>
    </w:rPr>
  </w:style>
  <w:style w:type="paragraph" w:styleId="9">
    <w:name w:val="heading 8"/>
    <w:basedOn w:val="1"/>
    <w:next w:val="1"/>
    <w:link w:val="35"/>
    <w:semiHidden/>
    <w:unhideWhenUsed/>
    <w:qFormat/>
    <w:uiPriority w:val="9"/>
    <w:pPr>
      <w:keepNext/>
      <w:keepLines/>
      <w:spacing w:before="40" w:after="0"/>
      <w:outlineLvl w:val="7"/>
    </w:pPr>
    <w:rPr>
      <w:rFonts w:asciiTheme="majorHAnsi" w:hAnsiTheme="majorHAnsi" w:eastAsiaTheme="majorEastAsia" w:cstheme="majorBidi"/>
      <w:i/>
      <w:iCs/>
      <w:sz w:val="22"/>
      <w:szCs w:val="22"/>
    </w:rPr>
  </w:style>
  <w:style w:type="paragraph" w:styleId="10">
    <w:name w:val="heading 9"/>
    <w:basedOn w:val="1"/>
    <w:next w:val="1"/>
    <w:link w:val="36"/>
    <w:semiHidden/>
    <w:unhideWhenUsed/>
    <w:qFormat/>
    <w:uiPriority w:val="9"/>
    <w:pPr>
      <w:keepNext/>
      <w:keepLines/>
      <w:spacing w:before="40" w:after="0"/>
      <w:outlineLvl w:val="8"/>
    </w:pPr>
    <w:rPr>
      <w:b/>
      <w:bCs/>
      <w:i/>
      <w:iCs/>
    </w:rPr>
  </w:style>
  <w:style w:type="character" w:default="1" w:styleId="23">
    <w:name w:val="Default Paragraph Font"/>
    <w:semiHidden/>
    <w:unhideWhenUsed/>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11">
    <w:name w:val="caption"/>
    <w:basedOn w:val="1"/>
    <w:next w:val="1"/>
    <w:semiHidden/>
    <w:unhideWhenUsed/>
    <w:qFormat/>
    <w:uiPriority w:val="35"/>
    <w:pPr>
      <w:spacing w:line="240" w:lineRule="auto"/>
    </w:pPr>
    <w:rPr>
      <w:b/>
      <w:bCs/>
      <w:color w:val="606060" w:themeColor="text1" w:themeTint="BF"/>
      <w:sz w:val="16"/>
      <w:szCs w:val="16"/>
    </w:rPr>
  </w:style>
  <w:style w:type="paragraph" w:styleId="12">
    <w:name w:val="Date"/>
    <w:basedOn w:val="1"/>
    <w:next w:val="1"/>
    <w:link w:val="54"/>
    <w:semiHidden/>
    <w:unhideWhenUsed/>
    <w:qFormat/>
    <w:uiPriority w:val="99"/>
    <w:pPr>
      <w:ind w:left="100" w:leftChars="2500"/>
    </w:pPr>
  </w:style>
  <w:style w:type="paragraph" w:styleId="13">
    <w:name w:val="Balloon Text"/>
    <w:basedOn w:val="1"/>
    <w:link w:val="57"/>
    <w:semiHidden/>
    <w:unhideWhenUsed/>
    <w:qFormat/>
    <w:uiPriority w:val="99"/>
    <w:pPr>
      <w:spacing w:after="0" w:line="240" w:lineRule="auto"/>
    </w:pPr>
    <w:rPr>
      <w:sz w:val="18"/>
      <w:szCs w:val="18"/>
    </w:rPr>
  </w:style>
  <w:style w:type="paragraph" w:styleId="14">
    <w:name w:val="footer"/>
    <w:basedOn w:val="1"/>
    <w:link w:val="56"/>
    <w:unhideWhenUsed/>
    <w:qFormat/>
    <w:uiPriority w:val="99"/>
    <w:pPr>
      <w:tabs>
        <w:tab w:val="center" w:pos="4153"/>
        <w:tab w:val="right" w:pos="8306"/>
      </w:tabs>
      <w:snapToGrid w:val="0"/>
      <w:spacing w:line="240" w:lineRule="auto"/>
    </w:pPr>
    <w:rPr>
      <w:sz w:val="18"/>
      <w:szCs w:val="18"/>
    </w:rPr>
  </w:style>
  <w:style w:type="paragraph" w:styleId="15">
    <w:name w:val="header"/>
    <w:basedOn w:val="1"/>
    <w:link w:val="55"/>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16">
    <w:name w:val="toc 1"/>
    <w:basedOn w:val="1"/>
    <w:next w:val="1"/>
    <w:unhideWhenUsed/>
    <w:qFormat/>
    <w:uiPriority w:val="39"/>
  </w:style>
  <w:style w:type="paragraph" w:styleId="17">
    <w:name w:val="Subtitle"/>
    <w:basedOn w:val="1"/>
    <w:next w:val="1"/>
    <w:link w:val="38"/>
    <w:qFormat/>
    <w:uiPriority w:val="11"/>
    <w:pPr>
      <w:jc w:val="center"/>
    </w:pPr>
    <w:rPr>
      <w:color w:val="099BDD" w:themeColor="text2"/>
      <w:sz w:val="28"/>
      <w:szCs w:val="28"/>
    </w:rPr>
  </w:style>
  <w:style w:type="paragraph" w:styleId="18">
    <w:name w:val="toc 2"/>
    <w:basedOn w:val="1"/>
    <w:next w:val="1"/>
    <w:unhideWhenUsed/>
    <w:qFormat/>
    <w:uiPriority w:val="39"/>
    <w:pPr>
      <w:ind w:left="420" w:leftChars="200"/>
    </w:pPr>
  </w:style>
  <w:style w:type="paragraph" w:styleId="19">
    <w:name w:val="Normal (Web)"/>
    <w:basedOn w:val="1"/>
    <w:unhideWhenUsed/>
    <w:qFormat/>
    <w:uiPriority w:val="99"/>
    <w:pPr>
      <w:spacing w:before="100" w:beforeAutospacing="1" w:after="100" w:afterAutospacing="1" w:line="240" w:lineRule="auto"/>
      <w:jc w:val="both"/>
    </w:pPr>
    <w:rPr>
      <w:rFonts w:ascii="宋体" w:hAnsi="宋体" w:eastAsia="宋体" w:cs="宋体"/>
      <w:kern w:val="2"/>
      <w:sz w:val="24"/>
      <w:szCs w:val="24"/>
    </w:rPr>
  </w:style>
  <w:style w:type="paragraph" w:styleId="20">
    <w:name w:val="Title"/>
    <w:basedOn w:val="1"/>
    <w:next w:val="1"/>
    <w:link w:val="37"/>
    <w:qFormat/>
    <w:uiPriority w:val="10"/>
    <w:pPr>
      <w:pBdr>
        <w:top w:val="single" w:color="08CC78" w:themeColor="accent3" w:sz="6" w:space="8"/>
        <w:bottom w:val="single" w:color="08CC78" w:themeColor="accent3" w:sz="6" w:space="8"/>
      </w:pBdr>
      <w:spacing w:after="400" w:line="240" w:lineRule="auto"/>
      <w:contextualSpacing/>
      <w:jc w:val="center"/>
    </w:pPr>
    <w:rPr>
      <w:rFonts w:asciiTheme="majorHAnsi" w:hAnsiTheme="majorHAnsi" w:eastAsiaTheme="majorEastAsia" w:cstheme="majorBidi"/>
      <w:caps/>
      <w:color w:val="099BDD" w:themeColor="text2"/>
      <w:spacing w:val="30"/>
      <w:sz w:val="72"/>
      <w:szCs w:val="72"/>
    </w:rPr>
  </w:style>
  <w:style w:type="table" w:styleId="22">
    <w:name w:val="Table Grid"/>
    <w:basedOn w:val="21"/>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4">
    <w:name w:val="Strong"/>
    <w:basedOn w:val="23"/>
    <w:qFormat/>
    <w:uiPriority w:val="22"/>
    <w:rPr>
      <w:b/>
      <w:bCs/>
    </w:rPr>
  </w:style>
  <w:style w:type="character" w:styleId="25">
    <w:name w:val="FollowedHyperlink"/>
    <w:basedOn w:val="23"/>
    <w:semiHidden/>
    <w:unhideWhenUsed/>
    <w:qFormat/>
    <w:uiPriority w:val="99"/>
    <w:rPr>
      <w:color w:val="6C606A" w:themeColor="followedHyperlink"/>
      <w:u w:val="single"/>
    </w:rPr>
  </w:style>
  <w:style w:type="character" w:styleId="26">
    <w:name w:val="Emphasis"/>
    <w:basedOn w:val="23"/>
    <w:qFormat/>
    <w:uiPriority w:val="20"/>
    <w:rPr>
      <w:i/>
      <w:iCs/>
      <w:color w:val="2C2C2C" w:themeColor="text1"/>
    </w:rPr>
  </w:style>
  <w:style w:type="character" w:styleId="27">
    <w:name w:val="Hyperlink"/>
    <w:basedOn w:val="23"/>
    <w:unhideWhenUsed/>
    <w:qFormat/>
    <w:uiPriority w:val="99"/>
    <w:rPr>
      <w:color w:val="005DBA" w:themeColor="hyperlink"/>
      <w:u w:val="single"/>
    </w:rPr>
  </w:style>
  <w:style w:type="character" w:customStyle="1" w:styleId="28">
    <w:name w:val="标题 1 Char"/>
    <w:basedOn w:val="23"/>
    <w:link w:val="2"/>
    <w:uiPriority w:val="9"/>
    <w:rPr>
      <w:rFonts w:asciiTheme="majorHAnsi" w:hAnsiTheme="majorHAnsi" w:eastAsiaTheme="majorEastAsia" w:cstheme="majorBidi"/>
      <w:color w:val="BE8F00" w:themeColor="accent1" w:themeShade="BF"/>
      <w:sz w:val="40"/>
      <w:szCs w:val="40"/>
    </w:rPr>
  </w:style>
  <w:style w:type="character" w:customStyle="1" w:styleId="29">
    <w:name w:val="标题 2 Char"/>
    <w:basedOn w:val="23"/>
    <w:link w:val="3"/>
    <w:uiPriority w:val="9"/>
    <w:rPr>
      <w:rFonts w:asciiTheme="majorHAnsi" w:hAnsiTheme="majorHAnsi" w:eastAsiaTheme="majorEastAsia" w:cstheme="majorBidi"/>
      <w:sz w:val="32"/>
      <w:szCs w:val="32"/>
    </w:rPr>
  </w:style>
  <w:style w:type="character" w:customStyle="1" w:styleId="30">
    <w:name w:val="标题 3 Char"/>
    <w:basedOn w:val="23"/>
    <w:link w:val="4"/>
    <w:semiHidden/>
    <w:uiPriority w:val="9"/>
    <w:rPr>
      <w:rFonts w:asciiTheme="majorHAnsi" w:hAnsiTheme="majorHAnsi" w:eastAsiaTheme="majorEastAsia" w:cstheme="majorBidi"/>
      <w:sz w:val="32"/>
      <w:szCs w:val="32"/>
    </w:rPr>
  </w:style>
  <w:style w:type="character" w:customStyle="1" w:styleId="31">
    <w:name w:val="标题 4 Char"/>
    <w:basedOn w:val="23"/>
    <w:link w:val="5"/>
    <w:semiHidden/>
    <w:uiPriority w:val="9"/>
    <w:rPr>
      <w:rFonts w:asciiTheme="majorHAnsi" w:hAnsiTheme="majorHAnsi" w:eastAsiaTheme="majorEastAsia" w:cstheme="majorBidi"/>
      <w:i/>
      <w:iCs/>
      <w:sz w:val="30"/>
      <w:szCs w:val="30"/>
    </w:rPr>
  </w:style>
  <w:style w:type="character" w:customStyle="1" w:styleId="32">
    <w:name w:val="标题 5 Char"/>
    <w:basedOn w:val="23"/>
    <w:link w:val="6"/>
    <w:semiHidden/>
    <w:qFormat/>
    <w:uiPriority w:val="9"/>
    <w:rPr>
      <w:rFonts w:asciiTheme="majorHAnsi" w:hAnsiTheme="majorHAnsi" w:eastAsiaTheme="majorEastAsia" w:cstheme="majorBidi"/>
      <w:sz w:val="28"/>
      <w:szCs w:val="28"/>
    </w:rPr>
  </w:style>
  <w:style w:type="character" w:customStyle="1" w:styleId="33">
    <w:name w:val="标题 6 Char"/>
    <w:basedOn w:val="23"/>
    <w:link w:val="7"/>
    <w:semiHidden/>
    <w:qFormat/>
    <w:uiPriority w:val="9"/>
    <w:rPr>
      <w:rFonts w:asciiTheme="majorHAnsi" w:hAnsiTheme="majorHAnsi" w:eastAsiaTheme="majorEastAsia" w:cstheme="majorBidi"/>
      <w:i/>
      <w:iCs/>
      <w:sz w:val="26"/>
      <w:szCs w:val="26"/>
    </w:rPr>
  </w:style>
  <w:style w:type="character" w:customStyle="1" w:styleId="34">
    <w:name w:val="标题 7 Char"/>
    <w:basedOn w:val="23"/>
    <w:link w:val="8"/>
    <w:semiHidden/>
    <w:qFormat/>
    <w:uiPriority w:val="9"/>
    <w:rPr>
      <w:rFonts w:asciiTheme="majorHAnsi" w:hAnsiTheme="majorHAnsi" w:eastAsiaTheme="majorEastAsia" w:cstheme="majorBidi"/>
      <w:sz w:val="24"/>
      <w:szCs w:val="24"/>
    </w:rPr>
  </w:style>
  <w:style w:type="character" w:customStyle="1" w:styleId="35">
    <w:name w:val="标题 8 Char"/>
    <w:basedOn w:val="23"/>
    <w:link w:val="9"/>
    <w:semiHidden/>
    <w:qFormat/>
    <w:uiPriority w:val="9"/>
    <w:rPr>
      <w:rFonts w:asciiTheme="majorHAnsi" w:hAnsiTheme="majorHAnsi" w:eastAsiaTheme="majorEastAsia" w:cstheme="majorBidi"/>
      <w:i/>
      <w:iCs/>
      <w:sz w:val="22"/>
      <w:szCs w:val="22"/>
    </w:rPr>
  </w:style>
  <w:style w:type="character" w:customStyle="1" w:styleId="36">
    <w:name w:val="标题 9 Char"/>
    <w:basedOn w:val="23"/>
    <w:link w:val="10"/>
    <w:semiHidden/>
    <w:qFormat/>
    <w:uiPriority w:val="9"/>
    <w:rPr>
      <w:b/>
      <w:bCs/>
      <w:i/>
      <w:iCs/>
    </w:rPr>
  </w:style>
  <w:style w:type="character" w:customStyle="1" w:styleId="37">
    <w:name w:val="标题 Char"/>
    <w:basedOn w:val="23"/>
    <w:link w:val="20"/>
    <w:qFormat/>
    <w:uiPriority w:val="10"/>
    <w:rPr>
      <w:rFonts w:asciiTheme="majorHAnsi" w:hAnsiTheme="majorHAnsi" w:eastAsiaTheme="majorEastAsia" w:cstheme="majorBidi"/>
      <w:caps/>
      <w:color w:val="099BDD" w:themeColor="text2"/>
      <w:spacing w:val="30"/>
      <w:sz w:val="72"/>
      <w:szCs w:val="72"/>
    </w:rPr>
  </w:style>
  <w:style w:type="character" w:customStyle="1" w:styleId="38">
    <w:name w:val="副标题 Char"/>
    <w:basedOn w:val="23"/>
    <w:link w:val="17"/>
    <w:qFormat/>
    <w:uiPriority w:val="11"/>
    <w:rPr>
      <w:color w:val="099BDD" w:themeColor="text2"/>
      <w:sz w:val="28"/>
      <w:szCs w:val="28"/>
    </w:rPr>
  </w:style>
  <w:style w:type="paragraph" w:styleId="39">
    <w:name w:val="No Spacing"/>
    <w:qFormat/>
    <w:uiPriority w:val="1"/>
    <w:pPr>
      <w:spacing w:after="0" w:line="240" w:lineRule="auto"/>
    </w:pPr>
    <w:rPr>
      <w:rFonts w:asciiTheme="minorHAnsi" w:hAnsiTheme="minorHAnsi" w:eastAsiaTheme="minorEastAsia" w:cstheme="minorBidi"/>
      <w:sz w:val="21"/>
      <w:szCs w:val="21"/>
      <w:lang w:val="en-US" w:eastAsia="zh-CN" w:bidi="ar-SA"/>
    </w:rPr>
  </w:style>
  <w:style w:type="paragraph" w:styleId="40">
    <w:name w:val="Quote"/>
    <w:basedOn w:val="1"/>
    <w:next w:val="1"/>
    <w:link w:val="41"/>
    <w:qFormat/>
    <w:uiPriority w:val="29"/>
    <w:pPr>
      <w:spacing w:before="160"/>
      <w:ind w:left="720" w:right="720"/>
      <w:jc w:val="center"/>
    </w:pPr>
    <w:rPr>
      <w:i/>
      <w:iCs/>
      <w:color w:val="059859" w:themeColor="accent3" w:themeShade="BF"/>
      <w:sz w:val="24"/>
      <w:szCs w:val="24"/>
    </w:rPr>
  </w:style>
  <w:style w:type="character" w:customStyle="1" w:styleId="41">
    <w:name w:val="引用 Char"/>
    <w:basedOn w:val="23"/>
    <w:link w:val="40"/>
    <w:qFormat/>
    <w:uiPriority w:val="29"/>
    <w:rPr>
      <w:i/>
      <w:iCs/>
      <w:color w:val="059859" w:themeColor="accent3" w:themeShade="BF"/>
      <w:sz w:val="24"/>
      <w:szCs w:val="24"/>
    </w:rPr>
  </w:style>
  <w:style w:type="paragraph" w:styleId="42">
    <w:name w:val="Intense Quote"/>
    <w:basedOn w:val="1"/>
    <w:next w:val="1"/>
    <w:link w:val="43"/>
    <w:qFormat/>
    <w:uiPriority w:val="30"/>
    <w:pPr>
      <w:spacing w:before="160" w:line="276" w:lineRule="auto"/>
      <w:ind w:left="936" w:right="936"/>
      <w:jc w:val="center"/>
    </w:pPr>
    <w:rPr>
      <w:rFonts w:asciiTheme="majorHAnsi" w:hAnsiTheme="majorHAnsi" w:eastAsiaTheme="majorEastAsia" w:cstheme="majorBidi"/>
      <w:caps/>
      <w:color w:val="BE8F00" w:themeColor="accent1" w:themeShade="BF"/>
      <w:sz w:val="28"/>
      <w:szCs w:val="28"/>
    </w:rPr>
  </w:style>
  <w:style w:type="character" w:customStyle="1" w:styleId="43">
    <w:name w:val="明显引用 Char"/>
    <w:basedOn w:val="23"/>
    <w:link w:val="42"/>
    <w:qFormat/>
    <w:uiPriority w:val="30"/>
    <w:rPr>
      <w:rFonts w:asciiTheme="majorHAnsi" w:hAnsiTheme="majorHAnsi" w:eastAsiaTheme="majorEastAsia" w:cstheme="majorBidi"/>
      <w:caps/>
      <w:color w:val="BE8F00" w:themeColor="accent1" w:themeShade="BF"/>
      <w:sz w:val="28"/>
      <w:szCs w:val="28"/>
    </w:rPr>
  </w:style>
  <w:style w:type="character" w:customStyle="1" w:styleId="44">
    <w:name w:val="Subtle Emphasis"/>
    <w:basedOn w:val="23"/>
    <w:qFormat/>
    <w:uiPriority w:val="19"/>
    <w:rPr>
      <w:i/>
      <w:iCs/>
      <w:color w:val="757575" w:themeColor="text1" w:themeTint="A6"/>
    </w:rPr>
  </w:style>
  <w:style w:type="character" w:customStyle="1" w:styleId="45">
    <w:name w:val="Intense Emphasis"/>
    <w:basedOn w:val="23"/>
    <w:qFormat/>
    <w:uiPriority w:val="21"/>
    <w:rPr>
      <w:b/>
      <w:bCs/>
      <w:i/>
      <w:iCs/>
      <w:color w:val="auto"/>
    </w:rPr>
  </w:style>
  <w:style w:type="character" w:customStyle="1" w:styleId="46">
    <w:name w:val="Subtle Reference"/>
    <w:basedOn w:val="23"/>
    <w:qFormat/>
    <w:uiPriority w:val="31"/>
    <w:rPr>
      <w:smallCaps/>
      <w:color w:val="606060" w:themeColor="text1" w:themeTint="BF"/>
      <w:spacing w:val="0"/>
      <w:u w:val="single" w:color="959595" w:themeColor="text1" w:themeTint="80"/>
    </w:rPr>
  </w:style>
  <w:style w:type="character" w:customStyle="1" w:styleId="47">
    <w:name w:val="Intense Reference"/>
    <w:basedOn w:val="23"/>
    <w:qFormat/>
    <w:uiPriority w:val="32"/>
    <w:rPr>
      <w:b/>
      <w:bCs/>
      <w:smallCaps/>
      <w:color w:val="auto"/>
      <w:spacing w:val="0"/>
      <w:u w:val="single"/>
    </w:rPr>
  </w:style>
  <w:style w:type="character" w:customStyle="1" w:styleId="48">
    <w:name w:val="Book Title"/>
    <w:basedOn w:val="23"/>
    <w:qFormat/>
    <w:uiPriority w:val="33"/>
    <w:rPr>
      <w:b/>
      <w:bCs/>
      <w:smallCaps/>
      <w:spacing w:val="0"/>
    </w:rPr>
  </w:style>
  <w:style w:type="paragraph" w:customStyle="1" w:styleId="49">
    <w:name w:val="TOC Heading"/>
    <w:basedOn w:val="2"/>
    <w:next w:val="1"/>
    <w:unhideWhenUsed/>
    <w:qFormat/>
    <w:uiPriority w:val="39"/>
    <w:pPr>
      <w:outlineLvl w:val="9"/>
    </w:pPr>
  </w:style>
  <w:style w:type="paragraph" w:styleId="50">
    <w:name w:val="List Paragraph"/>
    <w:basedOn w:val="1"/>
    <w:qFormat/>
    <w:uiPriority w:val="34"/>
    <w:pPr>
      <w:ind w:firstLine="420" w:firstLineChars="200"/>
    </w:pPr>
  </w:style>
  <w:style w:type="paragraph" w:customStyle="1" w:styleId="51">
    <w:name w:val="列出段落2"/>
    <w:basedOn w:val="1"/>
    <w:unhideWhenUsed/>
    <w:qFormat/>
    <w:uiPriority w:val="99"/>
    <w:pPr>
      <w:widowControl w:val="0"/>
      <w:spacing w:after="0" w:line="240" w:lineRule="auto"/>
      <w:ind w:firstLine="420" w:firstLineChars="200"/>
      <w:jc w:val="both"/>
    </w:pPr>
    <w:rPr>
      <w:kern w:val="2"/>
      <w:szCs w:val="24"/>
    </w:rPr>
  </w:style>
  <w:style w:type="character" w:customStyle="1" w:styleId="52">
    <w:name w:val="dssx_1"/>
    <w:basedOn w:val="23"/>
    <w:qFormat/>
    <w:uiPriority w:val="0"/>
  </w:style>
  <w:style w:type="paragraph" w:customStyle="1" w:styleId="53">
    <w:name w:val="列出段落3"/>
    <w:basedOn w:val="1"/>
    <w:unhideWhenUsed/>
    <w:qFormat/>
    <w:uiPriority w:val="99"/>
    <w:pPr>
      <w:widowControl w:val="0"/>
      <w:spacing w:after="0" w:line="240" w:lineRule="auto"/>
      <w:ind w:firstLine="420" w:firstLineChars="200"/>
      <w:jc w:val="both"/>
    </w:pPr>
    <w:rPr>
      <w:kern w:val="2"/>
      <w:szCs w:val="24"/>
    </w:rPr>
  </w:style>
  <w:style w:type="character" w:customStyle="1" w:styleId="54">
    <w:name w:val="日期 Char"/>
    <w:basedOn w:val="23"/>
    <w:link w:val="12"/>
    <w:semiHidden/>
    <w:qFormat/>
    <w:uiPriority w:val="99"/>
  </w:style>
  <w:style w:type="character" w:customStyle="1" w:styleId="55">
    <w:name w:val="页眉 Char"/>
    <w:basedOn w:val="23"/>
    <w:link w:val="15"/>
    <w:qFormat/>
    <w:uiPriority w:val="99"/>
    <w:rPr>
      <w:sz w:val="18"/>
      <w:szCs w:val="18"/>
    </w:rPr>
  </w:style>
  <w:style w:type="character" w:customStyle="1" w:styleId="56">
    <w:name w:val="页脚 Char"/>
    <w:basedOn w:val="23"/>
    <w:link w:val="14"/>
    <w:qFormat/>
    <w:uiPriority w:val="99"/>
    <w:rPr>
      <w:sz w:val="18"/>
      <w:szCs w:val="18"/>
    </w:rPr>
  </w:style>
  <w:style w:type="character" w:customStyle="1" w:styleId="57">
    <w:name w:val="批注框文本 Char"/>
    <w:basedOn w:val="23"/>
    <w:link w:val="13"/>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diagramLayout" Target="diagrams/layout1.xml"/><Relationship Id="rId8" Type="http://schemas.openxmlformats.org/officeDocument/2006/relationships/diagramData" Target="diagrams/data1.xml"/><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customXml" Target="../customXml/item3.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png"/><Relationship Id="rId12" Type="http://schemas.microsoft.com/office/2007/relationships/diagramDrawing" Target="diagrams/drawing1.xml"/><Relationship Id="rId11" Type="http://schemas.openxmlformats.org/officeDocument/2006/relationships/diagramColors" Target="diagrams/colors1.xml"/><Relationship Id="rId10" Type="http://schemas.openxmlformats.org/officeDocument/2006/relationships/diagramQuickStyle" Target="diagrams/quickStyle1.xml"/><Relationship Id="rId1"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145B36AE-D740-44D2-83B7-8AEB3157BD4C}" type="doc">
      <dgm:prSet loTypeId="urn:microsoft.com/office/officeart/2005/8/layout/list1" loCatId="list" qsTypeId="urn:microsoft.com/office/officeart/2005/8/quickstyle/simple1" qsCatId="simple" csTypeId="urn:microsoft.com/office/officeart/2005/8/colors/accent1_2" csCatId="accent1" phldr="1"/>
      <dgm:spPr/>
      <dgm:t>
        <a:bodyPr/>
        <a:p>
          <a:endParaRPr lang="zh-CN" altLang="en-US"/>
        </a:p>
      </dgm:t>
    </dgm:pt>
    <dgm:pt modelId="{FCCB4A61-9EE4-4404-8F32-73D19C331DE7}">
      <dgm:prSet phldrT="[文本]"/>
      <dgm:spPr/>
      <dgm:t>
        <a:bodyPr/>
        <a:p>
          <a:r>
            <a:rPr lang="zh-CN" altLang="en-US"/>
            <a:t>领导班子</a:t>
          </a:r>
        </a:p>
      </dgm:t>
    </dgm:pt>
    <dgm:pt modelId="{4AA17358-8B9B-4242-A389-5A1DE3719F72}" cxnId="{69F5A031-9F47-4BE1-9898-F3159DAAB9DB}" type="parTrans">
      <dgm:prSet/>
      <dgm:spPr/>
      <dgm:t>
        <a:bodyPr/>
        <a:p>
          <a:endParaRPr lang="zh-CN" altLang="en-US"/>
        </a:p>
      </dgm:t>
    </dgm:pt>
    <dgm:pt modelId="{9E939532-909C-4603-BCF2-267EC956B560}" cxnId="{69F5A031-9F47-4BE1-9898-F3159DAAB9DB}" type="sibTrans">
      <dgm:prSet/>
      <dgm:spPr/>
      <dgm:t>
        <a:bodyPr/>
        <a:p>
          <a:endParaRPr lang="zh-CN" altLang="en-US"/>
        </a:p>
      </dgm:t>
    </dgm:pt>
    <dgm:pt modelId="{FCFDC660-3971-4D1F-9B61-16C7C265BEC6}">
      <dgm:prSet phldrT="[文本]"/>
      <dgm:spPr/>
      <dgm:t>
        <a:bodyPr/>
        <a:p>
          <a:r>
            <a:rPr lang="zh-CN" altLang="en-US"/>
            <a:t>办公室 </a:t>
          </a:r>
        </a:p>
      </dgm:t>
    </dgm:pt>
    <dgm:pt modelId="{EDED6EA8-9944-4BCA-AE9E-2780C4B9E546}" cxnId="{71F26921-9F2C-4DC5-9D56-AE89542B4A0D}" type="parTrans">
      <dgm:prSet/>
      <dgm:spPr/>
      <dgm:t>
        <a:bodyPr/>
        <a:p>
          <a:endParaRPr lang="zh-CN" altLang="en-US"/>
        </a:p>
      </dgm:t>
    </dgm:pt>
    <dgm:pt modelId="{F133033E-8D0E-43BA-9810-78ECA84DF6ED}" cxnId="{71F26921-9F2C-4DC5-9D56-AE89542B4A0D}" type="sibTrans">
      <dgm:prSet/>
      <dgm:spPr/>
      <dgm:t>
        <a:bodyPr/>
        <a:p>
          <a:endParaRPr lang="zh-CN" altLang="en-US"/>
        </a:p>
      </dgm:t>
    </dgm:pt>
    <dgm:pt modelId="{A55E614B-3C63-4563-9BAF-084664561D2F}">
      <dgm:prSet phldrT="[文本]"/>
      <dgm:spPr/>
      <dgm:t>
        <a:bodyPr/>
        <a:p>
          <a:r>
            <a:rPr lang="zh-CN" altLang="en-US"/>
            <a:t>采编部</a:t>
          </a:r>
        </a:p>
      </dgm:t>
    </dgm:pt>
    <dgm:pt modelId="{B9DE28EB-13C7-4DF9-973D-27242DD65E15}" cxnId="{2C2575BE-F322-4B38-B242-DC74AFE210C2}" type="parTrans">
      <dgm:prSet/>
      <dgm:spPr/>
      <dgm:t>
        <a:bodyPr/>
        <a:p>
          <a:endParaRPr lang="zh-CN" altLang="en-US"/>
        </a:p>
      </dgm:t>
    </dgm:pt>
    <dgm:pt modelId="{224603FD-859A-4933-AF68-8EC88FD88C72}" cxnId="{2C2575BE-F322-4B38-B242-DC74AFE210C2}" type="sibTrans">
      <dgm:prSet/>
      <dgm:spPr/>
      <dgm:t>
        <a:bodyPr/>
        <a:p>
          <a:endParaRPr lang="zh-CN" altLang="en-US"/>
        </a:p>
      </dgm:t>
    </dgm:pt>
    <dgm:pt modelId="{5D64619B-5D4C-4F24-9B66-64684E9F9317}">
      <dgm:prSet/>
      <dgm:spPr/>
      <dgm:t>
        <a:bodyPr/>
        <a:p>
          <a:r>
            <a:rPr lang="zh-CN" altLang="en-US"/>
            <a:t>外借部</a:t>
          </a:r>
        </a:p>
      </dgm:t>
    </dgm:pt>
    <dgm:pt modelId="{98ABB4AF-E92A-4216-A582-90B51BF9D670}" cxnId="{4EFD716F-AA23-4511-A348-D2980235E396}" type="parTrans">
      <dgm:prSet/>
      <dgm:spPr/>
      <dgm:t>
        <a:bodyPr/>
        <a:p>
          <a:endParaRPr lang="zh-CN" altLang="en-US"/>
        </a:p>
      </dgm:t>
    </dgm:pt>
    <dgm:pt modelId="{3FADCBC3-3A66-4133-B349-2761A1783000}" cxnId="{4EFD716F-AA23-4511-A348-D2980235E396}" type="sibTrans">
      <dgm:prSet/>
      <dgm:spPr/>
      <dgm:t>
        <a:bodyPr/>
        <a:p>
          <a:endParaRPr lang="zh-CN" altLang="en-US"/>
        </a:p>
      </dgm:t>
    </dgm:pt>
    <dgm:pt modelId="{20180579-6B9E-46A3-A928-C83DFA7E3F88}">
      <dgm:prSet/>
      <dgm:spPr/>
      <dgm:t>
        <a:bodyPr/>
        <a:p>
          <a:r>
            <a:rPr lang="zh-CN" altLang="en-US"/>
            <a:t>阅览部</a:t>
          </a:r>
        </a:p>
      </dgm:t>
    </dgm:pt>
    <dgm:pt modelId="{9AF974DB-6589-4A94-9BD2-5AA762501A80}" cxnId="{4A30DA0D-49CA-426C-9D56-2BE8A9AD9953}" type="parTrans">
      <dgm:prSet/>
      <dgm:spPr/>
      <dgm:t>
        <a:bodyPr/>
        <a:p>
          <a:endParaRPr lang="zh-CN" altLang="en-US"/>
        </a:p>
      </dgm:t>
    </dgm:pt>
    <dgm:pt modelId="{3DDF4B4B-01A1-4801-8BE4-9BA7611F3021}" cxnId="{4A30DA0D-49CA-426C-9D56-2BE8A9AD9953}" type="sibTrans">
      <dgm:prSet/>
      <dgm:spPr/>
      <dgm:t>
        <a:bodyPr/>
        <a:p>
          <a:endParaRPr lang="zh-CN" altLang="en-US"/>
        </a:p>
      </dgm:t>
    </dgm:pt>
    <dgm:pt modelId="{42BA631D-E9A7-4404-9D05-65A1EC21A49F}">
      <dgm:prSet/>
      <dgm:spPr/>
      <dgm:t>
        <a:bodyPr/>
        <a:p>
          <a:r>
            <a:rPr lang="zh-CN" altLang="en-US"/>
            <a:t>计算机中心</a:t>
          </a:r>
        </a:p>
      </dgm:t>
    </dgm:pt>
    <dgm:pt modelId="{C642A715-B1E2-49E4-8485-8D10BBAA18E5}" cxnId="{B033D501-2A2C-437A-BC36-443B93A8AF55}" type="parTrans">
      <dgm:prSet/>
      <dgm:spPr/>
      <dgm:t>
        <a:bodyPr/>
        <a:p>
          <a:endParaRPr lang="zh-CN" altLang="en-US"/>
        </a:p>
      </dgm:t>
    </dgm:pt>
    <dgm:pt modelId="{BC506969-F6B5-43A1-B8E2-5E4817C3B4AE}" cxnId="{B033D501-2A2C-437A-BC36-443B93A8AF55}" type="sibTrans">
      <dgm:prSet/>
      <dgm:spPr/>
      <dgm:t>
        <a:bodyPr/>
        <a:p>
          <a:endParaRPr lang="zh-CN" altLang="en-US"/>
        </a:p>
      </dgm:t>
    </dgm:pt>
    <dgm:pt modelId="{2E2BEE91-ED8F-4AD3-95B7-DA8B8C429E5D}">
      <dgm:prSet/>
      <dgm:spPr/>
      <dgm:t>
        <a:bodyPr/>
        <a:p>
          <a:r>
            <a:rPr lang="zh-CN" altLang="en-US"/>
            <a:t>宣传辅导部</a:t>
          </a:r>
        </a:p>
      </dgm:t>
    </dgm:pt>
    <dgm:pt modelId="{6A1C81C2-FB7A-4F78-9108-A80807F056C6}" cxnId="{F00311F5-0D71-4DDF-9A04-B7346B39845E}" type="parTrans">
      <dgm:prSet/>
      <dgm:spPr/>
      <dgm:t>
        <a:bodyPr/>
        <a:p>
          <a:endParaRPr lang="zh-CN" altLang="en-US"/>
        </a:p>
      </dgm:t>
    </dgm:pt>
    <dgm:pt modelId="{FF5339A7-54C1-4C9D-A3D2-36677A5ED699}" cxnId="{F00311F5-0D71-4DDF-9A04-B7346B39845E}" type="sibTrans">
      <dgm:prSet/>
      <dgm:spPr/>
      <dgm:t>
        <a:bodyPr/>
        <a:p>
          <a:endParaRPr lang="zh-CN" altLang="en-US"/>
        </a:p>
      </dgm:t>
    </dgm:pt>
    <dgm:pt modelId="{E2A7429F-B67B-465C-BA22-4EE17C3751DA}">
      <dgm:prSet/>
      <dgm:spPr/>
      <dgm:t>
        <a:bodyPr/>
        <a:p>
          <a:r>
            <a:rPr lang="zh-CN" altLang="en-US"/>
            <a:t>主持馆内日常工作</a:t>
          </a:r>
        </a:p>
      </dgm:t>
    </dgm:pt>
    <dgm:pt modelId="{4A7597F0-B0F7-447F-BF64-10BA47D1019F}" cxnId="{443C63BB-4E15-452B-BEE8-A1D7C30A2AF4}" type="parTrans">
      <dgm:prSet/>
      <dgm:spPr/>
      <dgm:t>
        <a:bodyPr/>
        <a:p>
          <a:endParaRPr lang="zh-CN" altLang="en-US"/>
        </a:p>
      </dgm:t>
    </dgm:pt>
    <dgm:pt modelId="{492694E3-D686-45B3-89E0-FAB224E4C4B8}" cxnId="{443C63BB-4E15-452B-BEE8-A1D7C30A2AF4}" type="sibTrans">
      <dgm:prSet/>
      <dgm:spPr/>
      <dgm:t>
        <a:bodyPr/>
        <a:p>
          <a:endParaRPr lang="zh-CN" altLang="en-US"/>
        </a:p>
      </dgm:t>
    </dgm:pt>
    <dgm:pt modelId="{64A44CFC-2789-4977-AC85-D65278935DA3}">
      <dgm:prSet/>
      <dgm:spPr/>
      <dgm:t>
        <a:bodyPr/>
        <a:p>
          <a:r>
            <a:rPr lang="zh-CN" altLang="en-US" b="0" i="0"/>
            <a:t>负责馆内日常工作处理</a:t>
          </a:r>
          <a:endParaRPr lang="zh-CN" altLang="en-US"/>
        </a:p>
      </dgm:t>
    </dgm:pt>
    <dgm:pt modelId="{08B680C2-9F00-43C8-B2C0-0346D790EE99}" cxnId="{DAABB8A9-0E31-47B6-9C1F-6D7293F9658D}" type="parTrans">
      <dgm:prSet/>
      <dgm:spPr/>
      <dgm:t>
        <a:bodyPr/>
        <a:p>
          <a:endParaRPr lang="zh-CN" altLang="en-US"/>
        </a:p>
      </dgm:t>
    </dgm:pt>
    <dgm:pt modelId="{1A647DFF-670B-4CF7-A20A-F215DCAF3749}" cxnId="{DAABB8A9-0E31-47B6-9C1F-6D7293F9658D}" type="sibTrans">
      <dgm:prSet/>
      <dgm:spPr/>
      <dgm:t>
        <a:bodyPr/>
        <a:p>
          <a:endParaRPr lang="zh-CN" altLang="en-US"/>
        </a:p>
      </dgm:t>
    </dgm:pt>
    <dgm:pt modelId="{68B7423D-7E68-4C07-B9C3-DD3E47110562}">
      <dgm:prSet/>
      <dgm:spPr/>
      <dgm:t>
        <a:bodyPr/>
        <a:p>
          <a:r>
            <a:rPr lang="zh-CN" altLang="en-US" b="0" i="0"/>
            <a:t>提供馆内纸本图书的借阅流通</a:t>
          </a:r>
          <a:endParaRPr lang="zh-CN" altLang="en-US"/>
        </a:p>
      </dgm:t>
    </dgm:pt>
    <dgm:pt modelId="{DF1C0D17-D327-4042-A94C-E135C8227D75}" cxnId="{C807DB93-5F81-477B-9337-A2CE5940B6DC}" type="parTrans">
      <dgm:prSet/>
      <dgm:spPr/>
      <dgm:t>
        <a:bodyPr/>
        <a:p>
          <a:endParaRPr lang="zh-CN" altLang="en-US"/>
        </a:p>
      </dgm:t>
    </dgm:pt>
    <dgm:pt modelId="{8853576F-ECE0-45C8-9409-1A9C0ACD198B}" cxnId="{C807DB93-5F81-477B-9337-A2CE5940B6DC}" type="sibTrans">
      <dgm:prSet/>
      <dgm:spPr/>
      <dgm:t>
        <a:bodyPr/>
        <a:p>
          <a:endParaRPr lang="zh-CN" altLang="en-US"/>
        </a:p>
      </dgm:t>
    </dgm:pt>
    <dgm:pt modelId="{1BFF0EBD-9C6E-4A56-A767-42461089C9E3}">
      <dgm:prSet/>
      <dgm:spPr/>
      <dgm:t>
        <a:bodyPr/>
        <a:p>
          <a:r>
            <a:rPr lang="zh-CN" altLang="en-US" b="0" i="0"/>
            <a:t>负责书籍的采购编目</a:t>
          </a:r>
          <a:endParaRPr lang="zh-CN" altLang="en-US"/>
        </a:p>
      </dgm:t>
    </dgm:pt>
    <dgm:pt modelId="{D0C7CAC8-6845-4311-AE87-A8F13BF587B5}" cxnId="{3E453761-C480-43C9-8F20-4358F9F5A15E}" type="parTrans">
      <dgm:prSet/>
      <dgm:spPr/>
      <dgm:t>
        <a:bodyPr/>
        <a:p>
          <a:endParaRPr lang="zh-CN" altLang="en-US"/>
        </a:p>
      </dgm:t>
    </dgm:pt>
    <dgm:pt modelId="{A48413C8-DC4A-440B-AB0E-1958541F68FE}" cxnId="{3E453761-C480-43C9-8F20-4358F9F5A15E}" type="sibTrans">
      <dgm:prSet/>
      <dgm:spPr/>
      <dgm:t>
        <a:bodyPr/>
        <a:p>
          <a:endParaRPr lang="zh-CN" altLang="en-US"/>
        </a:p>
      </dgm:t>
    </dgm:pt>
    <dgm:pt modelId="{FD781202-EED2-4854-B41A-991905972E27}">
      <dgm:prSet/>
      <dgm:spPr/>
      <dgm:t>
        <a:bodyPr/>
        <a:p>
          <a:r>
            <a:rPr lang="zh-CN" altLang="en-US" b="0" i="0"/>
            <a:t>负责馆内综合阅览室的日常开放管理工作，提供少儿图书、期刊借阅流通</a:t>
          </a:r>
          <a:endParaRPr lang="zh-CN" altLang="en-US"/>
        </a:p>
      </dgm:t>
    </dgm:pt>
    <dgm:pt modelId="{40B6AC2D-C56D-4BCB-9519-A6F18A32943B}" cxnId="{AC9A0327-7A64-4229-8F60-4E0B7DD6BE98}" type="parTrans">
      <dgm:prSet/>
      <dgm:spPr/>
      <dgm:t>
        <a:bodyPr/>
        <a:p>
          <a:endParaRPr lang="zh-CN" altLang="en-US"/>
        </a:p>
      </dgm:t>
    </dgm:pt>
    <dgm:pt modelId="{884D6672-29D0-4AB2-B966-80F1BEBED3F3}" cxnId="{AC9A0327-7A64-4229-8F60-4E0B7DD6BE98}" type="sibTrans">
      <dgm:prSet/>
      <dgm:spPr/>
      <dgm:t>
        <a:bodyPr/>
        <a:p>
          <a:endParaRPr lang="zh-CN" altLang="en-US"/>
        </a:p>
      </dgm:t>
    </dgm:pt>
    <dgm:pt modelId="{E6CBAB42-75A9-4C1E-859E-E542BA183328}">
      <dgm:prSet/>
      <dgm:spPr/>
      <dgm:t>
        <a:bodyPr/>
        <a:p>
          <a:r>
            <a:rPr lang="zh-CN" altLang="en-US" b="0" i="0"/>
            <a:t>负责馆内网络维护，机房维护，计算机维护，电子阅览室维护等信息技术工作</a:t>
          </a:r>
          <a:endParaRPr lang="zh-CN" altLang="en-US"/>
        </a:p>
      </dgm:t>
    </dgm:pt>
    <dgm:pt modelId="{C38C8930-2355-42E2-A887-BA5055081B8E}" cxnId="{F6A85D86-C095-4784-BAB3-3968EEBEE12B}" type="parTrans">
      <dgm:prSet/>
      <dgm:spPr/>
      <dgm:t>
        <a:bodyPr/>
        <a:p>
          <a:endParaRPr lang="zh-CN" altLang="en-US"/>
        </a:p>
      </dgm:t>
    </dgm:pt>
    <dgm:pt modelId="{AA9EDE9C-5355-4C85-B277-492B1542A99F}" cxnId="{F6A85D86-C095-4784-BAB3-3968EEBEE12B}" type="sibTrans">
      <dgm:prSet/>
      <dgm:spPr/>
      <dgm:t>
        <a:bodyPr/>
        <a:p>
          <a:endParaRPr lang="zh-CN" altLang="en-US"/>
        </a:p>
      </dgm:t>
    </dgm:pt>
    <dgm:pt modelId="{D8DC8223-7366-4E64-B457-4EC4A5398823}">
      <dgm:prSet/>
      <dgm:spPr/>
      <dgm:t>
        <a:bodyPr/>
        <a:p>
          <a:r>
            <a:rPr lang="zh-CN" altLang="en-US" b="0" i="0"/>
            <a:t>负责图书馆宣传辅导工作</a:t>
          </a:r>
          <a:endParaRPr lang="zh-CN" altLang="en-US"/>
        </a:p>
      </dgm:t>
    </dgm:pt>
    <dgm:pt modelId="{BBD3E77B-AF07-441E-BA46-3B3DF07D29D5}" cxnId="{291488D2-19F2-43D7-AFE8-2FF1509A10A9}" type="parTrans">
      <dgm:prSet/>
      <dgm:spPr/>
      <dgm:t>
        <a:bodyPr/>
        <a:p>
          <a:endParaRPr lang="zh-CN" altLang="en-US"/>
        </a:p>
      </dgm:t>
    </dgm:pt>
    <dgm:pt modelId="{D02EB2F7-D78F-4223-9236-2A69A8E318FC}" cxnId="{291488D2-19F2-43D7-AFE8-2FF1509A10A9}" type="sibTrans">
      <dgm:prSet/>
      <dgm:spPr/>
      <dgm:t>
        <a:bodyPr/>
        <a:p>
          <a:endParaRPr lang="zh-CN" altLang="en-US"/>
        </a:p>
      </dgm:t>
    </dgm:pt>
    <dgm:pt modelId="{FB773819-60BC-453E-AD44-219BE316244C}" type="pres">
      <dgm:prSet presAssocID="{145B36AE-D740-44D2-83B7-8AEB3157BD4C}" presName="linear" presStyleCnt="0">
        <dgm:presLayoutVars>
          <dgm:dir/>
          <dgm:animLvl val="lvl"/>
          <dgm:resizeHandles val="exact"/>
        </dgm:presLayoutVars>
      </dgm:prSet>
      <dgm:spPr/>
      <dgm:t>
        <a:bodyPr/>
        <a:p>
          <a:endParaRPr lang="zh-CN" altLang="en-US"/>
        </a:p>
      </dgm:t>
    </dgm:pt>
    <dgm:pt modelId="{F63088EB-492A-4323-9C3A-99DD66B9D57A}" type="pres">
      <dgm:prSet presAssocID="{FCCB4A61-9EE4-4404-8F32-73D19C331DE7}" presName="parentLin" presStyleCnt="0"/>
      <dgm:spPr/>
    </dgm:pt>
    <dgm:pt modelId="{2D6E9C0E-C3F6-455E-9976-7DEFC381D98C}" type="pres">
      <dgm:prSet presAssocID="{FCCB4A61-9EE4-4404-8F32-73D19C331DE7}" presName="parentLeftMargin" presStyleLbl="node1" presStyleIdx="0" presStyleCnt="7"/>
      <dgm:spPr/>
      <dgm:t>
        <a:bodyPr/>
        <a:p>
          <a:endParaRPr lang="zh-CN" altLang="en-US"/>
        </a:p>
      </dgm:t>
    </dgm:pt>
    <dgm:pt modelId="{D19CE852-F04F-4D0B-AB23-C0DE9E871E07}" type="pres">
      <dgm:prSet presAssocID="{FCCB4A61-9EE4-4404-8F32-73D19C331DE7}" presName="parentText" presStyleLbl="node1" presStyleIdx="0" presStyleCnt="7">
        <dgm:presLayoutVars>
          <dgm:chMax val="0"/>
          <dgm:bulletEnabled val="1"/>
        </dgm:presLayoutVars>
      </dgm:prSet>
      <dgm:spPr/>
      <dgm:t>
        <a:bodyPr/>
        <a:p>
          <a:endParaRPr lang="zh-CN" altLang="en-US"/>
        </a:p>
      </dgm:t>
    </dgm:pt>
    <dgm:pt modelId="{9F11F90E-FBB9-4EE8-8136-C608A7542629}" type="pres">
      <dgm:prSet presAssocID="{FCCB4A61-9EE4-4404-8F32-73D19C331DE7}" presName="negativeSpace" presStyleCnt="0"/>
      <dgm:spPr/>
    </dgm:pt>
    <dgm:pt modelId="{0B36399E-D62A-4ECA-9527-C1AF03AB80C1}" type="pres">
      <dgm:prSet presAssocID="{FCCB4A61-9EE4-4404-8F32-73D19C331DE7}" presName="childText" presStyleLbl="conFgAcc1" presStyleIdx="0" presStyleCnt="7">
        <dgm:presLayoutVars>
          <dgm:bulletEnabled val="1"/>
        </dgm:presLayoutVars>
      </dgm:prSet>
      <dgm:spPr/>
      <dgm:t>
        <a:bodyPr/>
        <a:p>
          <a:endParaRPr lang="zh-CN" altLang="en-US"/>
        </a:p>
      </dgm:t>
    </dgm:pt>
    <dgm:pt modelId="{9AE692AE-119F-4C9A-8A82-556CC5031567}" type="pres">
      <dgm:prSet presAssocID="{9E939532-909C-4603-BCF2-267EC956B560}" presName="spaceBetweenRectangles" presStyleCnt="0"/>
      <dgm:spPr/>
    </dgm:pt>
    <dgm:pt modelId="{0AC0090C-04AE-4AF9-BAAF-9DF067CC2549}" type="pres">
      <dgm:prSet presAssocID="{FCFDC660-3971-4D1F-9B61-16C7C265BEC6}" presName="parentLin" presStyleCnt="0"/>
      <dgm:spPr/>
    </dgm:pt>
    <dgm:pt modelId="{ACE68A39-71A9-4838-8A30-6EF701506461}" type="pres">
      <dgm:prSet presAssocID="{FCFDC660-3971-4D1F-9B61-16C7C265BEC6}" presName="parentLeftMargin" presStyleLbl="node1" presStyleIdx="0" presStyleCnt="7"/>
      <dgm:spPr/>
      <dgm:t>
        <a:bodyPr/>
        <a:p>
          <a:endParaRPr lang="zh-CN" altLang="en-US"/>
        </a:p>
      </dgm:t>
    </dgm:pt>
    <dgm:pt modelId="{8F5717F9-23FE-4286-BFFE-5195567A9E4C}" type="pres">
      <dgm:prSet presAssocID="{FCFDC660-3971-4D1F-9B61-16C7C265BEC6}" presName="parentText" presStyleLbl="node1" presStyleIdx="1" presStyleCnt="7">
        <dgm:presLayoutVars>
          <dgm:chMax val="0"/>
          <dgm:bulletEnabled val="1"/>
        </dgm:presLayoutVars>
      </dgm:prSet>
      <dgm:spPr/>
      <dgm:t>
        <a:bodyPr/>
        <a:p>
          <a:endParaRPr lang="zh-CN" altLang="en-US"/>
        </a:p>
      </dgm:t>
    </dgm:pt>
    <dgm:pt modelId="{4A824BB2-2623-409F-B25B-FDC47F824D3A}" type="pres">
      <dgm:prSet presAssocID="{FCFDC660-3971-4D1F-9B61-16C7C265BEC6}" presName="negativeSpace" presStyleCnt="0"/>
      <dgm:spPr/>
    </dgm:pt>
    <dgm:pt modelId="{53F0F79E-FCD7-4CEA-B0F9-3B7D555C6570}" type="pres">
      <dgm:prSet presAssocID="{FCFDC660-3971-4D1F-9B61-16C7C265BEC6}" presName="childText" presStyleLbl="conFgAcc1" presStyleIdx="1" presStyleCnt="7">
        <dgm:presLayoutVars>
          <dgm:bulletEnabled val="1"/>
        </dgm:presLayoutVars>
      </dgm:prSet>
      <dgm:spPr/>
      <dgm:t>
        <a:bodyPr/>
        <a:p>
          <a:endParaRPr lang="zh-CN" altLang="en-US"/>
        </a:p>
      </dgm:t>
    </dgm:pt>
    <dgm:pt modelId="{C22F3F9D-22F7-4828-87F8-D0B1FDDFA14B}" type="pres">
      <dgm:prSet presAssocID="{F133033E-8D0E-43BA-9810-78ECA84DF6ED}" presName="spaceBetweenRectangles" presStyleCnt="0"/>
      <dgm:spPr/>
    </dgm:pt>
    <dgm:pt modelId="{74E67C2A-32F3-45D9-BFD7-6B059509C133}" type="pres">
      <dgm:prSet presAssocID="{5D64619B-5D4C-4F24-9B66-64684E9F9317}" presName="parentLin" presStyleCnt="0"/>
      <dgm:spPr/>
    </dgm:pt>
    <dgm:pt modelId="{5FC5608C-3588-4328-B710-7B43C59ADDF0}" type="pres">
      <dgm:prSet presAssocID="{5D64619B-5D4C-4F24-9B66-64684E9F9317}" presName="parentLeftMargin" presStyleLbl="node1" presStyleIdx="1" presStyleCnt="7"/>
      <dgm:spPr/>
      <dgm:t>
        <a:bodyPr/>
        <a:p>
          <a:endParaRPr lang="zh-CN" altLang="en-US"/>
        </a:p>
      </dgm:t>
    </dgm:pt>
    <dgm:pt modelId="{0DA9E7B1-A471-4077-A74F-B49E7F5E08AB}" type="pres">
      <dgm:prSet presAssocID="{5D64619B-5D4C-4F24-9B66-64684E9F9317}" presName="parentText" presStyleLbl="node1" presStyleIdx="2" presStyleCnt="7">
        <dgm:presLayoutVars>
          <dgm:chMax val="0"/>
          <dgm:bulletEnabled val="1"/>
        </dgm:presLayoutVars>
      </dgm:prSet>
      <dgm:spPr/>
      <dgm:t>
        <a:bodyPr/>
        <a:p>
          <a:endParaRPr lang="zh-CN" altLang="en-US"/>
        </a:p>
      </dgm:t>
    </dgm:pt>
    <dgm:pt modelId="{2D3308CB-5ADC-4B74-BD28-4B8DB65370CD}" type="pres">
      <dgm:prSet presAssocID="{5D64619B-5D4C-4F24-9B66-64684E9F9317}" presName="negativeSpace" presStyleCnt="0"/>
      <dgm:spPr/>
    </dgm:pt>
    <dgm:pt modelId="{62681C9A-64F1-41F2-AF19-A3021177A825}" type="pres">
      <dgm:prSet presAssocID="{5D64619B-5D4C-4F24-9B66-64684E9F9317}" presName="childText" presStyleLbl="conFgAcc1" presStyleIdx="2" presStyleCnt="7">
        <dgm:presLayoutVars>
          <dgm:bulletEnabled val="1"/>
        </dgm:presLayoutVars>
      </dgm:prSet>
      <dgm:spPr/>
      <dgm:t>
        <a:bodyPr/>
        <a:p>
          <a:endParaRPr lang="zh-CN" altLang="en-US"/>
        </a:p>
      </dgm:t>
    </dgm:pt>
    <dgm:pt modelId="{7C2185A1-D75B-4C39-AC28-0A40C6A0B365}" type="pres">
      <dgm:prSet presAssocID="{3FADCBC3-3A66-4133-B349-2761A1783000}" presName="spaceBetweenRectangles" presStyleCnt="0"/>
      <dgm:spPr/>
    </dgm:pt>
    <dgm:pt modelId="{68D4530A-7414-4046-8E7E-0B277289E40F}" type="pres">
      <dgm:prSet presAssocID="{A55E614B-3C63-4563-9BAF-084664561D2F}" presName="parentLin" presStyleCnt="0"/>
      <dgm:spPr/>
    </dgm:pt>
    <dgm:pt modelId="{FAA46A77-ED04-4F9F-A3B9-74B8301F5E92}" type="pres">
      <dgm:prSet presAssocID="{A55E614B-3C63-4563-9BAF-084664561D2F}" presName="parentLeftMargin" presStyleLbl="node1" presStyleIdx="2" presStyleCnt="7"/>
      <dgm:spPr/>
      <dgm:t>
        <a:bodyPr/>
        <a:p>
          <a:endParaRPr lang="zh-CN" altLang="en-US"/>
        </a:p>
      </dgm:t>
    </dgm:pt>
    <dgm:pt modelId="{D8A0E244-0782-44B8-9314-F070FFB342BE}" type="pres">
      <dgm:prSet presAssocID="{A55E614B-3C63-4563-9BAF-084664561D2F}" presName="parentText" presStyleLbl="node1" presStyleIdx="3" presStyleCnt="7">
        <dgm:presLayoutVars>
          <dgm:chMax val="0"/>
          <dgm:bulletEnabled val="1"/>
        </dgm:presLayoutVars>
      </dgm:prSet>
      <dgm:spPr/>
      <dgm:t>
        <a:bodyPr/>
        <a:p>
          <a:endParaRPr lang="zh-CN" altLang="en-US"/>
        </a:p>
      </dgm:t>
    </dgm:pt>
    <dgm:pt modelId="{AE56045E-C3B2-4602-AAC4-8B9AE63060BD}" type="pres">
      <dgm:prSet presAssocID="{A55E614B-3C63-4563-9BAF-084664561D2F}" presName="negativeSpace" presStyleCnt="0"/>
      <dgm:spPr/>
    </dgm:pt>
    <dgm:pt modelId="{00F9B2DA-62AB-46AD-9807-07FF35BE3E17}" type="pres">
      <dgm:prSet presAssocID="{A55E614B-3C63-4563-9BAF-084664561D2F}" presName="childText" presStyleLbl="conFgAcc1" presStyleIdx="3" presStyleCnt="7">
        <dgm:presLayoutVars>
          <dgm:bulletEnabled val="1"/>
        </dgm:presLayoutVars>
      </dgm:prSet>
      <dgm:spPr/>
      <dgm:t>
        <a:bodyPr/>
        <a:p>
          <a:endParaRPr lang="zh-CN" altLang="en-US"/>
        </a:p>
      </dgm:t>
    </dgm:pt>
    <dgm:pt modelId="{4B1E7026-B601-4E47-9056-36A644683EB4}" type="pres">
      <dgm:prSet presAssocID="{224603FD-859A-4933-AF68-8EC88FD88C72}" presName="spaceBetweenRectangles" presStyleCnt="0"/>
      <dgm:spPr/>
    </dgm:pt>
    <dgm:pt modelId="{95BCFA04-DD88-4D29-AA88-073A6BF54FD3}" type="pres">
      <dgm:prSet presAssocID="{20180579-6B9E-46A3-A928-C83DFA7E3F88}" presName="parentLin" presStyleCnt="0"/>
      <dgm:spPr/>
    </dgm:pt>
    <dgm:pt modelId="{8BFC868F-22DA-4E82-8BCC-A5C740AE902B}" type="pres">
      <dgm:prSet presAssocID="{20180579-6B9E-46A3-A928-C83DFA7E3F88}" presName="parentLeftMargin" presStyleLbl="node1" presStyleIdx="3" presStyleCnt="7"/>
      <dgm:spPr/>
      <dgm:t>
        <a:bodyPr/>
        <a:p>
          <a:endParaRPr lang="zh-CN" altLang="en-US"/>
        </a:p>
      </dgm:t>
    </dgm:pt>
    <dgm:pt modelId="{4E2B74ED-01FF-4523-9FE7-4B4649A40A63}" type="pres">
      <dgm:prSet presAssocID="{20180579-6B9E-46A3-A928-C83DFA7E3F88}" presName="parentText" presStyleLbl="node1" presStyleIdx="4" presStyleCnt="7">
        <dgm:presLayoutVars>
          <dgm:chMax val="0"/>
          <dgm:bulletEnabled val="1"/>
        </dgm:presLayoutVars>
      </dgm:prSet>
      <dgm:spPr/>
      <dgm:t>
        <a:bodyPr/>
        <a:p>
          <a:endParaRPr lang="zh-CN" altLang="en-US"/>
        </a:p>
      </dgm:t>
    </dgm:pt>
    <dgm:pt modelId="{2C28E2FA-CCED-4DA1-8E64-ADB9191FB8B9}" type="pres">
      <dgm:prSet presAssocID="{20180579-6B9E-46A3-A928-C83DFA7E3F88}" presName="negativeSpace" presStyleCnt="0"/>
      <dgm:spPr/>
    </dgm:pt>
    <dgm:pt modelId="{6C6AA14F-85F4-4A7E-A409-CB38ED1495F4}" type="pres">
      <dgm:prSet presAssocID="{20180579-6B9E-46A3-A928-C83DFA7E3F88}" presName="childText" presStyleLbl="conFgAcc1" presStyleIdx="4" presStyleCnt="7">
        <dgm:presLayoutVars>
          <dgm:bulletEnabled val="1"/>
        </dgm:presLayoutVars>
      </dgm:prSet>
      <dgm:spPr/>
      <dgm:t>
        <a:bodyPr/>
        <a:p>
          <a:endParaRPr lang="zh-CN" altLang="en-US"/>
        </a:p>
      </dgm:t>
    </dgm:pt>
    <dgm:pt modelId="{BC3D3F8D-DED3-47B7-8080-667CECC0060F}" type="pres">
      <dgm:prSet presAssocID="{3DDF4B4B-01A1-4801-8BE4-9BA7611F3021}" presName="spaceBetweenRectangles" presStyleCnt="0"/>
      <dgm:spPr/>
    </dgm:pt>
    <dgm:pt modelId="{7BF34EF8-9C00-4A20-8332-3A8B2CF1BA35}" type="pres">
      <dgm:prSet presAssocID="{42BA631D-E9A7-4404-9D05-65A1EC21A49F}" presName="parentLin" presStyleCnt="0"/>
      <dgm:spPr/>
    </dgm:pt>
    <dgm:pt modelId="{617390E4-ED24-46D4-AFE9-559A460C2519}" type="pres">
      <dgm:prSet presAssocID="{42BA631D-E9A7-4404-9D05-65A1EC21A49F}" presName="parentLeftMargin" presStyleLbl="node1" presStyleIdx="4" presStyleCnt="7"/>
      <dgm:spPr/>
      <dgm:t>
        <a:bodyPr/>
        <a:p>
          <a:endParaRPr lang="zh-CN" altLang="en-US"/>
        </a:p>
      </dgm:t>
    </dgm:pt>
    <dgm:pt modelId="{09175C90-C700-4FA0-85CB-1B39ED292FC7}" type="pres">
      <dgm:prSet presAssocID="{42BA631D-E9A7-4404-9D05-65A1EC21A49F}" presName="parentText" presStyleLbl="node1" presStyleIdx="5" presStyleCnt="7">
        <dgm:presLayoutVars>
          <dgm:chMax val="0"/>
          <dgm:bulletEnabled val="1"/>
        </dgm:presLayoutVars>
      </dgm:prSet>
      <dgm:spPr/>
      <dgm:t>
        <a:bodyPr/>
        <a:p>
          <a:endParaRPr lang="zh-CN" altLang="en-US"/>
        </a:p>
      </dgm:t>
    </dgm:pt>
    <dgm:pt modelId="{96F6A7F7-1A4D-4906-A1F6-DFDE342EFD6A}" type="pres">
      <dgm:prSet presAssocID="{42BA631D-E9A7-4404-9D05-65A1EC21A49F}" presName="negativeSpace" presStyleCnt="0"/>
      <dgm:spPr/>
    </dgm:pt>
    <dgm:pt modelId="{4663291D-0400-453C-9177-8DC64CF55974}" type="pres">
      <dgm:prSet presAssocID="{42BA631D-E9A7-4404-9D05-65A1EC21A49F}" presName="childText" presStyleLbl="conFgAcc1" presStyleIdx="5" presStyleCnt="7">
        <dgm:presLayoutVars>
          <dgm:bulletEnabled val="1"/>
        </dgm:presLayoutVars>
      </dgm:prSet>
      <dgm:spPr/>
      <dgm:t>
        <a:bodyPr/>
        <a:p>
          <a:endParaRPr lang="zh-CN" altLang="en-US"/>
        </a:p>
      </dgm:t>
    </dgm:pt>
    <dgm:pt modelId="{EFEFF262-B05F-4FAC-A3E8-54A8F95DE659}" type="pres">
      <dgm:prSet presAssocID="{BC506969-F6B5-43A1-B8E2-5E4817C3B4AE}" presName="spaceBetweenRectangles" presStyleCnt="0"/>
      <dgm:spPr/>
    </dgm:pt>
    <dgm:pt modelId="{D547E4E0-CFFB-4457-9163-9C9A8F9DBDB0}" type="pres">
      <dgm:prSet presAssocID="{2E2BEE91-ED8F-4AD3-95B7-DA8B8C429E5D}" presName="parentLin" presStyleCnt="0"/>
      <dgm:spPr/>
    </dgm:pt>
    <dgm:pt modelId="{9EC53C1B-EE3D-44BA-AAF8-4028414EECAE}" type="pres">
      <dgm:prSet presAssocID="{2E2BEE91-ED8F-4AD3-95B7-DA8B8C429E5D}" presName="parentLeftMargin" presStyleLbl="node1" presStyleIdx="5" presStyleCnt="7"/>
      <dgm:spPr/>
      <dgm:t>
        <a:bodyPr/>
        <a:p>
          <a:endParaRPr lang="zh-CN" altLang="en-US"/>
        </a:p>
      </dgm:t>
    </dgm:pt>
    <dgm:pt modelId="{F2B46AEB-DD5D-4EF3-AA6A-F13A9A9BA059}" type="pres">
      <dgm:prSet presAssocID="{2E2BEE91-ED8F-4AD3-95B7-DA8B8C429E5D}" presName="parentText" presStyleLbl="node1" presStyleIdx="6" presStyleCnt="7">
        <dgm:presLayoutVars>
          <dgm:chMax val="0"/>
          <dgm:bulletEnabled val="1"/>
        </dgm:presLayoutVars>
      </dgm:prSet>
      <dgm:spPr/>
      <dgm:t>
        <a:bodyPr/>
        <a:p>
          <a:endParaRPr lang="zh-CN" altLang="en-US"/>
        </a:p>
      </dgm:t>
    </dgm:pt>
    <dgm:pt modelId="{C5773F2C-277F-4414-BC13-C44087FC2F22}" type="pres">
      <dgm:prSet presAssocID="{2E2BEE91-ED8F-4AD3-95B7-DA8B8C429E5D}" presName="negativeSpace" presStyleCnt="0"/>
      <dgm:spPr/>
    </dgm:pt>
    <dgm:pt modelId="{9FCD0A91-73AC-458D-ACB9-C60ED6147107}" type="pres">
      <dgm:prSet presAssocID="{2E2BEE91-ED8F-4AD3-95B7-DA8B8C429E5D}" presName="childText" presStyleLbl="conFgAcc1" presStyleIdx="6" presStyleCnt="7">
        <dgm:presLayoutVars>
          <dgm:bulletEnabled val="1"/>
        </dgm:presLayoutVars>
      </dgm:prSet>
      <dgm:spPr/>
      <dgm:t>
        <a:bodyPr/>
        <a:p>
          <a:endParaRPr lang="zh-CN" altLang="en-US"/>
        </a:p>
      </dgm:t>
    </dgm:pt>
  </dgm:ptLst>
  <dgm:cxnLst>
    <dgm:cxn modelId="{081C0A11-2F67-414E-8C3D-AC9B7AE43F0D}" type="presOf" srcId="{5D64619B-5D4C-4F24-9B66-64684E9F9317}" destId="{0DA9E7B1-A471-4077-A74F-B49E7F5E08AB}" srcOrd="1" destOrd="0" presId="urn:microsoft.com/office/officeart/2005/8/layout/list1"/>
    <dgm:cxn modelId="{EEF1D860-E6E3-48AC-B241-265818D64EA0}" type="presOf" srcId="{FCFDC660-3971-4D1F-9B61-16C7C265BEC6}" destId="{ACE68A39-71A9-4838-8A30-6EF701506461}" srcOrd="0" destOrd="0" presId="urn:microsoft.com/office/officeart/2005/8/layout/list1"/>
    <dgm:cxn modelId="{86F4A8A9-B537-49BD-A304-550FC45C2027}" type="presOf" srcId="{2E2BEE91-ED8F-4AD3-95B7-DA8B8C429E5D}" destId="{9EC53C1B-EE3D-44BA-AAF8-4028414EECAE}" srcOrd="0" destOrd="0" presId="urn:microsoft.com/office/officeart/2005/8/layout/list1"/>
    <dgm:cxn modelId="{351DA5C7-AF8B-4B0F-9A19-7C26CE098AB1}" type="presOf" srcId="{A55E614B-3C63-4563-9BAF-084664561D2F}" destId="{FAA46A77-ED04-4F9F-A3B9-74B8301F5E92}" srcOrd="0" destOrd="0" presId="urn:microsoft.com/office/officeart/2005/8/layout/list1"/>
    <dgm:cxn modelId="{AAF69015-9243-44DC-8156-010E816BB075}" type="presOf" srcId="{68B7423D-7E68-4C07-B9C3-DD3E47110562}" destId="{62681C9A-64F1-41F2-AF19-A3021177A825}" srcOrd="0" destOrd="0" presId="urn:microsoft.com/office/officeart/2005/8/layout/list1"/>
    <dgm:cxn modelId="{347C792A-1138-4CAE-91FC-7F045586FD8F}" type="presOf" srcId="{FCCB4A61-9EE4-4404-8F32-73D19C331DE7}" destId="{2D6E9C0E-C3F6-455E-9976-7DEFC381D98C}" srcOrd="0" destOrd="0" presId="urn:microsoft.com/office/officeart/2005/8/layout/list1"/>
    <dgm:cxn modelId="{443C63BB-4E15-452B-BEE8-A1D7C30A2AF4}" srcId="{FCCB4A61-9EE4-4404-8F32-73D19C331DE7}" destId="{E2A7429F-B67B-465C-BA22-4EE17C3751DA}" srcOrd="0" destOrd="0" parTransId="{4A7597F0-B0F7-447F-BF64-10BA47D1019F}" sibTransId="{492694E3-D686-45B3-89E0-FAB224E4C4B8}"/>
    <dgm:cxn modelId="{988D1E5D-A8B8-4FC6-BFCA-2F10161E7A08}" type="presOf" srcId="{D8DC8223-7366-4E64-B457-4EC4A5398823}" destId="{9FCD0A91-73AC-458D-ACB9-C60ED6147107}" srcOrd="0" destOrd="0" presId="urn:microsoft.com/office/officeart/2005/8/layout/list1"/>
    <dgm:cxn modelId="{291488D2-19F2-43D7-AFE8-2FF1509A10A9}" srcId="{2E2BEE91-ED8F-4AD3-95B7-DA8B8C429E5D}" destId="{D8DC8223-7366-4E64-B457-4EC4A5398823}" srcOrd="0" destOrd="0" parTransId="{BBD3E77B-AF07-441E-BA46-3B3DF07D29D5}" sibTransId="{D02EB2F7-D78F-4223-9236-2A69A8E318FC}"/>
    <dgm:cxn modelId="{1FEBEAE3-E611-4361-920E-DA4C80EFB1E8}" type="presOf" srcId="{20180579-6B9E-46A3-A928-C83DFA7E3F88}" destId="{8BFC868F-22DA-4E82-8BCC-A5C740AE902B}" srcOrd="0" destOrd="0" presId="urn:microsoft.com/office/officeart/2005/8/layout/list1"/>
    <dgm:cxn modelId="{AC9A0327-7A64-4229-8F60-4E0B7DD6BE98}" srcId="{20180579-6B9E-46A3-A928-C83DFA7E3F88}" destId="{FD781202-EED2-4854-B41A-991905972E27}" srcOrd="0" destOrd="0" parTransId="{40B6AC2D-C56D-4BCB-9519-A6F18A32943B}" sibTransId="{884D6672-29D0-4AB2-B966-80F1BEBED3F3}"/>
    <dgm:cxn modelId="{B033D501-2A2C-437A-BC36-443B93A8AF55}" srcId="{145B36AE-D740-44D2-83B7-8AEB3157BD4C}" destId="{42BA631D-E9A7-4404-9D05-65A1EC21A49F}" srcOrd="5" destOrd="0" parTransId="{C642A715-B1E2-49E4-8485-8D10BBAA18E5}" sibTransId="{BC506969-F6B5-43A1-B8E2-5E4817C3B4AE}"/>
    <dgm:cxn modelId="{925F4568-E1E6-44D0-BDDA-BDC848C8550E}" type="presOf" srcId="{E6CBAB42-75A9-4C1E-859E-E542BA183328}" destId="{4663291D-0400-453C-9177-8DC64CF55974}" srcOrd="0" destOrd="0" presId="urn:microsoft.com/office/officeart/2005/8/layout/list1"/>
    <dgm:cxn modelId="{742DD572-01B1-4EBF-8542-B09728BD3196}" type="presOf" srcId="{E2A7429F-B67B-465C-BA22-4EE17C3751DA}" destId="{0B36399E-D62A-4ECA-9527-C1AF03AB80C1}" srcOrd="0" destOrd="0" presId="urn:microsoft.com/office/officeart/2005/8/layout/list1"/>
    <dgm:cxn modelId="{00BDE0EB-E899-4F58-A3AE-7E3E66FE7B93}" type="presOf" srcId="{20180579-6B9E-46A3-A928-C83DFA7E3F88}" destId="{4E2B74ED-01FF-4523-9FE7-4B4649A40A63}" srcOrd="1" destOrd="0" presId="urn:microsoft.com/office/officeart/2005/8/layout/list1"/>
    <dgm:cxn modelId="{71F26921-9F2C-4DC5-9D56-AE89542B4A0D}" srcId="{145B36AE-D740-44D2-83B7-8AEB3157BD4C}" destId="{FCFDC660-3971-4D1F-9B61-16C7C265BEC6}" srcOrd="1" destOrd="0" parTransId="{EDED6EA8-9944-4BCA-AE9E-2780C4B9E546}" sibTransId="{F133033E-8D0E-43BA-9810-78ECA84DF6ED}"/>
    <dgm:cxn modelId="{2F382E24-B150-4EDA-AB10-24635ECEA4C6}" type="presOf" srcId="{1BFF0EBD-9C6E-4A56-A767-42461089C9E3}" destId="{00F9B2DA-62AB-46AD-9807-07FF35BE3E17}" srcOrd="0" destOrd="0" presId="urn:microsoft.com/office/officeart/2005/8/layout/list1"/>
    <dgm:cxn modelId="{622B31D5-568C-42A8-8C76-FFC3C71D035D}" type="presOf" srcId="{FD781202-EED2-4854-B41A-991905972E27}" destId="{6C6AA14F-85F4-4A7E-A409-CB38ED1495F4}" srcOrd="0" destOrd="0" presId="urn:microsoft.com/office/officeart/2005/8/layout/list1"/>
    <dgm:cxn modelId="{42CCCCF7-F20C-47E2-A944-2B2E780F5C52}" type="presOf" srcId="{2E2BEE91-ED8F-4AD3-95B7-DA8B8C429E5D}" destId="{F2B46AEB-DD5D-4EF3-AA6A-F13A9A9BA059}" srcOrd="1" destOrd="0" presId="urn:microsoft.com/office/officeart/2005/8/layout/list1"/>
    <dgm:cxn modelId="{2C2575BE-F322-4B38-B242-DC74AFE210C2}" srcId="{145B36AE-D740-44D2-83B7-8AEB3157BD4C}" destId="{A55E614B-3C63-4563-9BAF-084664561D2F}" srcOrd="3" destOrd="0" parTransId="{B9DE28EB-13C7-4DF9-973D-27242DD65E15}" sibTransId="{224603FD-859A-4933-AF68-8EC88FD88C72}"/>
    <dgm:cxn modelId="{551252AB-7F37-42B8-88F0-0B8EB117D9EC}" type="presOf" srcId="{A55E614B-3C63-4563-9BAF-084664561D2F}" destId="{D8A0E244-0782-44B8-9314-F070FFB342BE}" srcOrd="1" destOrd="0" presId="urn:microsoft.com/office/officeart/2005/8/layout/list1"/>
    <dgm:cxn modelId="{DAABB8A9-0E31-47B6-9C1F-6D7293F9658D}" srcId="{FCFDC660-3971-4D1F-9B61-16C7C265BEC6}" destId="{64A44CFC-2789-4977-AC85-D65278935DA3}" srcOrd="0" destOrd="0" parTransId="{08B680C2-9F00-43C8-B2C0-0346D790EE99}" sibTransId="{1A647DFF-670B-4CF7-A20A-F215DCAF3749}"/>
    <dgm:cxn modelId="{4EFD716F-AA23-4511-A348-D2980235E396}" srcId="{145B36AE-D740-44D2-83B7-8AEB3157BD4C}" destId="{5D64619B-5D4C-4F24-9B66-64684E9F9317}" srcOrd="2" destOrd="0" parTransId="{98ABB4AF-E92A-4216-A582-90B51BF9D670}" sibTransId="{3FADCBC3-3A66-4133-B349-2761A1783000}"/>
    <dgm:cxn modelId="{69F5A031-9F47-4BE1-9898-F3159DAAB9DB}" srcId="{145B36AE-D740-44D2-83B7-8AEB3157BD4C}" destId="{FCCB4A61-9EE4-4404-8F32-73D19C331DE7}" srcOrd="0" destOrd="0" parTransId="{4AA17358-8B9B-4242-A389-5A1DE3719F72}" sibTransId="{9E939532-909C-4603-BCF2-267EC956B560}"/>
    <dgm:cxn modelId="{9D22F4C7-4852-455E-A440-EB37098F8F9B}" type="presOf" srcId="{FCFDC660-3971-4D1F-9B61-16C7C265BEC6}" destId="{8F5717F9-23FE-4286-BFFE-5195567A9E4C}" srcOrd="1" destOrd="0" presId="urn:microsoft.com/office/officeart/2005/8/layout/list1"/>
    <dgm:cxn modelId="{8F3F43B0-F578-44C0-BD7E-B06A7B3BD7FE}" type="presOf" srcId="{64A44CFC-2789-4977-AC85-D65278935DA3}" destId="{53F0F79E-FCD7-4CEA-B0F9-3B7D555C6570}" srcOrd="0" destOrd="0" presId="urn:microsoft.com/office/officeart/2005/8/layout/list1"/>
    <dgm:cxn modelId="{F00311F5-0D71-4DDF-9A04-B7346B39845E}" srcId="{145B36AE-D740-44D2-83B7-8AEB3157BD4C}" destId="{2E2BEE91-ED8F-4AD3-95B7-DA8B8C429E5D}" srcOrd="6" destOrd="0" parTransId="{6A1C81C2-FB7A-4F78-9108-A80807F056C6}" sibTransId="{FF5339A7-54C1-4C9D-A3D2-36677A5ED699}"/>
    <dgm:cxn modelId="{B94DDA5D-9510-40A8-9B80-8D6E729412E5}" type="presOf" srcId="{42BA631D-E9A7-4404-9D05-65A1EC21A49F}" destId="{617390E4-ED24-46D4-AFE9-559A460C2519}" srcOrd="0" destOrd="0" presId="urn:microsoft.com/office/officeart/2005/8/layout/list1"/>
    <dgm:cxn modelId="{C807DB93-5F81-477B-9337-A2CE5940B6DC}" srcId="{5D64619B-5D4C-4F24-9B66-64684E9F9317}" destId="{68B7423D-7E68-4C07-B9C3-DD3E47110562}" srcOrd="0" destOrd="0" parTransId="{DF1C0D17-D327-4042-A94C-E135C8227D75}" sibTransId="{8853576F-ECE0-45C8-9409-1A9C0ACD198B}"/>
    <dgm:cxn modelId="{0AB0A5AF-8F9A-45DE-B578-09B0D06EA2DE}" type="presOf" srcId="{145B36AE-D740-44D2-83B7-8AEB3157BD4C}" destId="{FB773819-60BC-453E-AD44-219BE316244C}" srcOrd="0" destOrd="0" presId="urn:microsoft.com/office/officeart/2005/8/layout/list1"/>
    <dgm:cxn modelId="{4A30DA0D-49CA-426C-9D56-2BE8A9AD9953}" srcId="{145B36AE-D740-44D2-83B7-8AEB3157BD4C}" destId="{20180579-6B9E-46A3-A928-C83DFA7E3F88}" srcOrd="4" destOrd="0" parTransId="{9AF974DB-6589-4A94-9BD2-5AA762501A80}" sibTransId="{3DDF4B4B-01A1-4801-8BE4-9BA7611F3021}"/>
    <dgm:cxn modelId="{905A9F71-F3D1-44C8-9EF0-9080BF87C3D9}" type="presOf" srcId="{FCCB4A61-9EE4-4404-8F32-73D19C331DE7}" destId="{D19CE852-F04F-4D0B-AB23-C0DE9E871E07}" srcOrd="1" destOrd="0" presId="urn:microsoft.com/office/officeart/2005/8/layout/list1"/>
    <dgm:cxn modelId="{3E453761-C480-43C9-8F20-4358F9F5A15E}" srcId="{A55E614B-3C63-4563-9BAF-084664561D2F}" destId="{1BFF0EBD-9C6E-4A56-A767-42461089C9E3}" srcOrd="0" destOrd="0" parTransId="{D0C7CAC8-6845-4311-AE87-A8F13BF587B5}" sibTransId="{A48413C8-DC4A-440B-AB0E-1958541F68FE}"/>
    <dgm:cxn modelId="{F6A85D86-C095-4784-BAB3-3968EEBEE12B}" srcId="{42BA631D-E9A7-4404-9D05-65A1EC21A49F}" destId="{E6CBAB42-75A9-4C1E-859E-E542BA183328}" srcOrd="0" destOrd="0" parTransId="{C38C8930-2355-42E2-A887-BA5055081B8E}" sibTransId="{AA9EDE9C-5355-4C85-B277-492B1542A99F}"/>
    <dgm:cxn modelId="{38790DD2-F8C9-4DED-BF97-57941778C182}" type="presOf" srcId="{5D64619B-5D4C-4F24-9B66-64684E9F9317}" destId="{5FC5608C-3588-4328-B710-7B43C59ADDF0}" srcOrd="0" destOrd="0" presId="urn:microsoft.com/office/officeart/2005/8/layout/list1"/>
    <dgm:cxn modelId="{AF2D9944-E379-462C-990F-E528D5E95C20}" type="presOf" srcId="{42BA631D-E9A7-4404-9D05-65A1EC21A49F}" destId="{09175C90-C700-4FA0-85CB-1B39ED292FC7}" srcOrd="1" destOrd="0" presId="urn:microsoft.com/office/officeart/2005/8/layout/list1"/>
    <dgm:cxn modelId="{69BC601B-6EED-4C0E-B89F-A4D5B0EEB54C}" type="presParOf" srcId="{FB773819-60BC-453E-AD44-219BE316244C}" destId="{F63088EB-492A-4323-9C3A-99DD66B9D57A}" srcOrd="0" destOrd="0" presId="urn:microsoft.com/office/officeart/2005/8/layout/list1"/>
    <dgm:cxn modelId="{BCED645D-25C5-4958-BA63-7BCAE9584CCF}" type="presParOf" srcId="{F63088EB-492A-4323-9C3A-99DD66B9D57A}" destId="{2D6E9C0E-C3F6-455E-9976-7DEFC381D98C}" srcOrd="0" destOrd="0" presId="urn:microsoft.com/office/officeart/2005/8/layout/list1"/>
    <dgm:cxn modelId="{A8736D8F-C006-4B76-A129-620F3CD53DF5}" type="presParOf" srcId="{F63088EB-492A-4323-9C3A-99DD66B9D57A}" destId="{D19CE852-F04F-4D0B-AB23-C0DE9E871E07}" srcOrd="1" destOrd="0" presId="urn:microsoft.com/office/officeart/2005/8/layout/list1"/>
    <dgm:cxn modelId="{817814C9-C888-4367-8439-9054B6FBBC16}" type="presParOf" srcId="{FB773819-60BC-453E-AD44-219BE316244C}" destId="{9F11F90E-FBB9-4EE8-8136-C608A7542629}" srcOrd="1" destOrd="0" presId="urn:microsoft.com/office/officeart/2005/8/layout/list1"/>
    <dgm:cxn modelId="{70CD3748-755F-428A-A34A-4DB500CFFD9F}" type="presParOf" srcId="{FB773819-60BC-453E-AD44-219BE316244C}" destId="{0B36399E-D62A-4ECA-9527-C1AF03AB80C1}" srcOrd="2" destOrd="0" presId="urn:microsoft.com/office/officeart/2005/8/layout/list1"/>
    <dgm:cxn modelId="{E6380DD3-D146-4ED7-8085-97311C438124}" type="presParOf" srcId="{FB773819-60BC-453E-AD44-219BE316244C}" destId="{9AE692AE-119F-4C9A-8A82-556CC5031567}" srcOrd="3" destOrd="0" presId="urn:microsoft.com/office/officeart/2005/8/layout/list1"/>
    <dgm:cxn modelId="{CF5A37D5-5E24-4613-93E7-1CA64F3BFCC1}" type="presParOf" srcId="{FB773819-60BC-453E-AD44-219BE316244C}" destId="{0AC0090C-04AE-4AF9-BAAF-9DF067CC2549}" srcOrd="4" destOrd="0" presId="urn:microsoft.com/office/officeart/2005/8/layout/list1"/>
    <dgm:cxn modelId="{6CFC99FA-A87D-470A-8780-49D12415E9FF}" type="presParOf" srcId="{0AC0090C-04AE-4AF9-BAAF-9DF067CC2549}" destId="{ACE68A39-71A9-4838-8A30-6EF701506461}" srcOrd="0" destOrd="0" presId="urn:microsoft.com/office/officeart/2005/8/layout/list1"/>
    <dgm:cxn modelId="{64E03358-3060-492C-A56B-E34B25096A11}" type="presParOf" srcId="{0AC0090C-04AE-4AF9-BAAF-9DF067CC2549}" destId="{8F5717F9-23FE-4286-BFFE-5195567A9E4C}" srcOrd="1" destOrd="0" presId="urn:microsoft.com/office/officeart/2005/8/layout/list1"/>
    <dgm:cxn modelId="{A0D8AAA8-6729-4100-BBD3-92AF9F2C0D68}" type="presParOf" srcId="{FB773819-60BC-453E-AD44-219BE316244C}" destId="{4A824BB2-2623-409F-B25B-FDC47F824D3A}" srcOrd="5" destOrd="0" presId="urn:microsoft.com/office/officeart/2005/8/layout/list1"/>
    <dgm:cxn modelId="{5F287093-A92D-4179-B154-D0FC02B0BBA7}" type="presParOf" srcId="{FB773819-60BC-453E-AD44-219BE316244C}" destId="{53F0F79E-FCD7-4CEA-B0F9-3B7D555C6570}" srcOrd="6" destOrd="0" presId="urn:microsoft.com/office/officeart/2005/8/layout/list1"/>
    <dgm:cxn modelId="{E2D58316-488A-4310-A4E0-ECE0555CA46B}" type="presParOf" srcId="{FB773819-60BC-453E-AD44-219BE316244C}" destId="{C22F3F9D-22F7-4828-87F8-D0B1FDDFA14B}" srcOrd="7" destOrd="0" presId="urn:microsoft.com/office/officeart/2005/8/layout/list1"/>
    <dgm:cxn modelId="{7C45ACDE-4518-4ABE-9B1F-F912098012D1}" type="presParOf" srcId="{FB773819-60BC-453E-AD44-219BE316244C}" destId="{74E67C2A-32F3-45D9-BFD7-6B059509C133}" srcOrd="8" destOrd="0" presId="urn:microsoft.com/office/officeart/2005/8/layout/list1"/>
    <dgm:cxn modelId="{CC19D041-5352-4818-AF04-10097B66BA87}" type="presParOf" srcId="{74E67C2A-32F3-45D9-BFD7-6B059509C133}" destId="{5FC5608C-3588-4328-B710-7B43C59ADDF0}" srcOrd="0" destOrd="0" presId="urn:microsoft.com/office/officeart/2005/8/layout/list1"/>
    <dgm:cxn modelId="{B8593D61-4F50-4227-B756-E0D98E297FD6}" type="presParOf" srcId="{74E67C2A-32F3-45D9-BFD7-6B059509C133}" destId="{0DA9E7B1-A471-4077-A74F-B49E7F5E08AB}" srcOrd="1" destOrd="0" presId="urn:microsoft.com/office/officeart/2005/8/layout/list1"/>
    <dgm:cxn modelId="{E87549DE-BAB2-437B-857A-99AD293B41D3}" type="presParOf" srcId="{FB773819-60BC-453E-AD44-219BE316244C}" destId="{2D3308CB-5ADC-4B74-BD28-4B8DB65370CD}" srcOrd="9" destOrd="0" presId="urn:microsoft.com/office/officeart/2005/8/layout/list1"/>
    <dgm:cxn modelId="{4AD59F6C-A4C4-44B4-97E0-493F867335F4}" type="presParOf" srcId="{FB773819-60BC-453E-AD44-219BE316244C}" destId="{62681C9A-64F1-41F2-AF19-A3021177A825}" srcOrd="10" destOrd="0" presId="urn:microsoft.com/office/officeart/2005/8/layout/list1"/>
    <dgm:cxn modelId="{6A878D25-31EF-4BDB-B1E7-DB4959E01E41}" type="presParOf" srcId="{FB773819-60BC-453E-AD44-219BE316244C}" destId="{7C2185A1-D75B-4C39-AC28-0A40C6A0B365}" srcOrd="11" destOrd="0" presId="urn:microsoft.com/office/officeart/2005/8/layout/list1"/>
    <dgm:cxn modelId="{E1E77551-BE31-4D7A-A2A0-B3F87EA3B41F}" type="presParOf" srcId="{FB773819-60BC-453E-AD44-219BE316244C}" destId="{68D4530A-7414-4046-8E7E-0B277289E40F}" srcOrd="12" destOrd="0" presId="urn:microsoft.com/office/officeart/2005/8/layout/list1"/>
    <dgm:cxn modelId="{41F3E651-97E0-4F64-B9AA-C673529A1558}" type="presParOf" srcId="{68D4530A-7414-4046-8E7E-0B277289E40F}" destId="{FAA46A77-ED04-4F9F-A3B9-74B8301F5E92}" srcOrd="0" destOrd="0" presId="urn:microsoft.com/office/officeart/2005/8/layout/list1"/>
    <dgm:cxn modelId="{8E5C5FD6-1633-42A1-98B5-4B0A7F6C4029}" type="presParOf" srcId="{68D4530A-7414-4046-8E7E-0B277289E40F}" destId="{D8A0E244-0782-44B8-9314-F070FFB342BE}" srcOrd="1" destOrd="0" presId="urn:microsoft.com/office/officeart/2005/8/layout/list1"/>
    <dgm:cxn modelId="{8251F17A-8651-420C-B5FC-073C3C02A478}" type="presParOf" srcId="{FB773819-60BC-453E-AD44-219BE316244C}" destId="{AE56045E-C3B2-4602-AAC4-8B9AE63060BD}" srcOrd="13" destOrd="0" presId="urn:microsoft.com/office/officeart/2005/8/layout/list1"/>
    <dgm:cxn modelId="{6E8F3F26-B68E-4083-B311-AD159E8A419D}" type="presParOf" srcId="{FB773819-60BC-453E-AD44-219BE316244C}" destId="{00F9B2DA-62AB-46AD-9807-07FF35BE3E17}" srcOrd="14" destOrd="0" presId="urn:microsoft.com/office/officeart/2005/8/layout/list1"/>
    <dgm:cxn modelId="{BA3A0CAF-F5B7-4121-BF98-DBA82E251F4E}" type="presParOf" srcId="{FB773819-60BC-453E-AD44-219BE316244C}" destId="{4B1E7026-B601-4E47-9056-36A644683EB4}" srcOrd="15" destOrd="0" presId="urn:microsoft.com/office/officeart/2005/8/layout/list1"/>
    <dgm:cxn modelId="{45616CB4-FA76-49CC-A8C2-D781EBF1AE9D}" type="presParOf" srcId="{FB773819-60BC-453E-AD44-219BE316244C}" destId="{95BCFA04-DD88-4D29-AA88-073A6BF54FD3}" srcOrd="16" destOrd="0" presId="urn:microsoft.com/office/officeart/2005/8/layout/list1"/>
    <dgm:cxn modelId="{34F6E5E9-E676-4062-AC40-010FFB9E7C12}" type="presParOf" srcId="{95BCFA04-DD88-4D29-AA88-073A6BF54FD3}" destId="{8BFC868F-22DA-4E82-8BCC-A5C740AE902B}" srcOrd="0" destOrd="0" presId="urn:microsoft.com/office/officeart/2005/8/layout/list1"/>
    <dgm:cxn modelId="{8163D0E7-D179-458B-B23C-DACFEA0F1033}" type="presParOf" srcId="{95BCFA04-DD88-4D29-AA88-073A6BF54FD3}" destId="{4E2B74ED-01FF-4523-9FE7-4B4649A40A63}" srcOrd="1" destOrd="0" presId="urn:microsoft.com/office/officeart/2005/8/layout/list1"/>
    <dgm:cxn modelId="{57BDF1DA-E14D-4BA9-8613-41DD600154BE}" type="presParOf" srcId="{FB773819-60BC-453E-AD44-219BE316244C}" destId="{2C28E2FA-CCED-4DA1-8E64-ADB9191FB8B9}" srcOrd="17" destOrd="0" presId="urn:microsoft.com/office/officeart/2005/8/layout/list1"/>
    <dgm:cxn modelId="{AD87677F-4F7E-4605-B51C-45A1256E438B}" type="presParOf" srcId="{FB773819-60BC-453E-AD44-219BE316244C}" destId="{6C6AA14F-85F4-4A7E-A409-CB38ED1495F4}" srcOrd="18" destOrd="0" presId="urn:microsoft.com/office/officeart/2005/8/layout/list1"/>
    <dgm:cxn modelId="{4C7955DD-0966-48E4-B603-455D0D0DA6E5}" type="presParOf" srcId="{FB773819-60BC-453E-AD44-219BE316244C}" destId="{BC3D3F8D-DED3-47B7-8080-667CECC0060F}" srcOrd="19" destOrd="0" presId="urn:microsoft.com/office/officeart/2005/8/layout/list1"/>
    <dgm:cxn modelId="{6F77C013-8B9B-40EF-96F4-5C2600003AA5}" type="presParOf" srcId="{FB773819-60BC-453E-AD44-219BE316244C}" destId="{7BF34EF8-9C00-4A20-8332-3A8B2CF1BA35}" srcOrd="20" destOrd="0" presId="urn:microsoft.com/office/officeart/2005/8/layout/list1"/>
    <dgm:cxn modelId="{1850866C-16C7-4538-A999-2AD6CF873B5A}" type="presParOf" srcId="{7BF34EF8-9C00-4A20-8332-3A8B2CF1BA35}" destId="{617390E4-ED24-46D4-AFE9-559A460C2519}" srcOrd="0" destOrd="0" presId="urn:microsoft.com/office/officeart/2005/8/layout/list1"/>
    <dgm:cxn modelId="{1B74CE1B-9B94-42EE-B435-B7303B475DEF}" type="presParOf" srcId="{7BF34EF8-9C00-4A20-8332-3A8B2CF1BA35}" destId="{09175C90-C700-4FA0-85CB-1B39ED292FC7}" srcOrd="1" destOrd="0" presId="urn:microsoft.com/office/officeart/2005/8/layout/list1"/>
    <dgm:cxn modelId="{747661D6-6D0D-4963-BA64-8DE155A653E6}" type="presParOf" srcId="{FB773819-60BC-453E-AD44-219BE316244C}" destId="{96F6A7F7-1A4D-4906-A1F6-DFDE342EFD6A}" srcOrd="21" destOrd="0" presId="urn:microsoft.com/office/officeart/2005/8/layout/list1"/>
    <dgm:cxn modelId="{B281E0DD-6E84-46DD-96BD-710B150AB273}" type="presParOf" srcId="{FB773819-60BC-453E-AD44-219BE316244C}" destId="{4663291D-0400-453C-9177-8DC64CF55974}" srcOrd="22" destOrd="0" presId="urn:microsoft.com/office/officeart/2005/8/layout/list1"/>
    <dgm:cxn modelId="{BF0089E3-497D-4DA2-8096-D1897E2A90F5}" type="presParOf" srcId="{FB773819-60BC-453E-AD44-219BE316244C}" destId="{EFEFF262-B05F-4FAC-A3E8-54A8F95DE659}" srcOrd="23" destOrd="0" presId="urn:microsoft.com/office/officeart/2005/8/layout/list1"/>
    <dgm:cxn modelId="{5FBB9A59-EE3C-4B4E-AD89-5CBC2EEB184B}" type="presParOf" srcId="{FB773819-60BC-453E-AD44-219BE316244C}" destId="{D547E4E0-CFFB-4457-9163-9C9A8F9DBDB0}" srcOrd="24" destOrd="0" presId="urn:microsoft.com/office/officeart/2005/8/layout/list1"/>
    <dgm:cxn modelId="{DE6D492D-515A-4517-8744-2CED5B7DE39E}" type="presParOf" srcId="{D547E4E0-CFFB-4457-9163-9C9A8F9DBDB0}" destId="{9EC53C1B-EE3D-44BA-AAF8-4028414EECAE}" srcOrd="0" destOrd="0" presId="urn:microsoft.com/office/officeart/2005/8/layout/list1"/>
    <dgm:cxn modelId="{36C1FDD9-141B-40CA-AB9D-430C7D1390F0}" type="presParOf" srcId="{D547E4E0-CFFB-4457-9163-9C9A8F9DBDB0}" destId="{F2B46AEB-DD5D-4EF3-AA6A-F13A9A9BA059}" srcOrd="1" destOrd="0" presId="urn:microsoft.com/office/officeart/2005/8/layout/list1"/>
    <dgm:cxn modelId="{71DD049E-C90F-4CD4-AFED-68CE5848A8A5}" type="presParOf" srcId="{FB773819-60BC-453E-AD44-219BE316244C}" destId="{C5773F2C-277F-4414-BC13-C44087FC2F22}" srcOrd="25" destOrd="0" presId="urn:microsoft.com/office/officeart/2005/8/layout/list1"/>
    <dgm:cxn modelId="{EE5FB9CF-3875-4471-A99C-FFBEFE1E92C4}" type="presParOf" srcId="{FB773819-60BC-453E-AD44-219BE316244C}" destId="{9FCD0A91-73AC-458D-ACB9-C60ED6147107}" srcOrd="26" destOrd="0" presId="urn:microsoft.com/office/officeart/2005/8/layout/list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xmlns:r="http://schemas.openxmlformats.org/officeDocument/2006/relationships">
  <dsp:spTree>
    <dsp:nvGrpSpPr>
      <dsp:cNvPr id="2" name="组合 1"/>
      <dsp:cNvGrpSpPr/>
    </dsp:nvGrpSpPr>
    <dsp:grpSpPr>
      <a:xfrm>
        <a:off x="0" y="0"/>
        <a:ext cx="5274310" cy="7540625"/>
        <a:chOff x="0" y="0"/>
        <a:chExt cx="5274310" cy="7540625"/>
      </a:xfrm>
    </dsp:grpSpPr>
    <dsp:sp modelId="{0B36399E-D62A-4ECA-9527-C1AF03AB80C1}">
      <dsp:nvSpPr>
        <dsp:cNvPr id="5" name="矩形 4"/>
        <dsp:cNvSpPr/>
      </dsp:nvSpPr>
      <dsp:spPr bwMode="white">
        <a:xfrm>
          <a:off x="0" y="258792"/>
          <a:ext cx="5274310" cy="690880"/>
        </a:xfrm>
        <a:prstGeom prst="rect">
          <a:avLst/>
        </a:prstGeom>
      </dsp:spPr>
      <dsp:style>
        <a:lnRef idx="2">
          <a:schemeClr val="accent1"/>
        </a:lnRef>
        <a:fillRef idx="1">
          <a:schemeClr val="lt1">
            <a:alpha val="90000"/>
          </a:schemeClr>
        </a:fillRef>
        <a:effectRef idx="0">
          <a:scrgbClr r="0" g="0" b="0"/>
        </a:effectRef>
        <a:fontRef idx="minor"/>
      </dsp:style>
      <dsp:txBody>
        <a:bodyPr lIns="409345" tIns="333248" rIns="409345" bIns="113792" anchor="t"/>
        <a:lstStyle>
          <a:lvl1pPr algn="l">
            <a:defRPr sz="1600"/>
          </a:lvl1pPr>
          <a:lvl2pPr marL="171450" indent="-171450" algn="l">
            <a:defRPr sz="1600"/>
          </a:lvl2pPr>
          <a:lvl3pPr marL="342900" indent="-171450" algn="l">
            <a:defRPr sz="1600"/>
          </a:lvl3pPr>
          <a:lvl4pPr marL="514350" indent="-171450" algn="l">
            <a:defRPr sz="1600"/>
          </a:lvl4pPr>
          <a:lvl5pPr marL="685800" indent="-171450" algn="l">
            <a:defRPr sz="1600"/>
          </a:lvl5pPr>
          <a:lvl6pPr marL="857250" indent="-171450" algn="l">
            <a:defRPr sz="1600"/>
          </a:lvl6pPr>
          <a:lvl7pPr marL="1028700" indent="-171450" algn="l">
            <a:defRPr sz="1600"/>
          </a:lvl7pPr>
          <a:lvl8pPr marL="1200150" indent="-171450" algn="l">
            <a:defRPr sz="1600"/>
          </a:lvl8pPr>
          <a:lvl9pPr marL="1371600" indent="-171450" algn="l">
            <a:defRPr sz="1600"/>
          </a:lvl9pPr>
        </a:lstStyle>
        <a:p>
          <a:pPr lvl="1">
            <a:lnSpc>
              <a:spcPct val="100000"/>
            </a:lnSpc>
            <a:spcBef>
              <a:spcPct val="0"/>
            </a:spcBef>
            <a:spcAft>
              <a:spcPct val="15000"/>
            </a:spcAft>
            <a:buChar char="•"/>
          </a:pPr>
          <a:r>
            <a:rPr lang="zh-CN" altLang="en-US">
              <a:solidFill>
                <a:schemeClr val="dk1"/>
              </a:solidFill>
            </a:rPr>
            <a:t>主持馆内日常工作</a:t>
          </a:r>
          <a:endParaRPr>
            <a:solidFill>
              <a:schemeClr val="dk1"/>
            </a:solidFill>
          </a:endParaRPr>
        </a:p>
      </dsp:txBody>
      <dsp:txXfrm>
        <a:off x="0" y="258792"/>
        <a:ext cx="5274310" cy="690880"/>
      </dsp:txXfrm>
    </dsp:sp>
    <dsp:sp modelId="{D19CE852-F04F-4D0B-AB23-C0DE9E871E07}">
      <dsp:nvSpPr>
        <dsp:cNvPr id="4" name="圆角矩形 3"/>
        <dsp:cNvSpPr/>
      </dsp:nvSpPr>
      <dsp:spPr bwMode="white">
        <a:xfrm>
          <a:off x="263716" y="22632"/>
          <a:ext cx="3692017" cy="472320"/>
        </a:xfrm>
        <a:prstGeom prst="roundRect">
          <a:avLst/>
        </a:prstGeom>
      </dsp:spPr>
      <dsp:style>
        <a:lnRef idx="2">
          <a:schemeClr val="lt1"/>
        </a:lnRef>
        <a:fillRef idx="1">
          <a:schemeClr val="accent1"/>
        </a:fillRef>
        <a:effectRef idx="0">
          <a:scrgbClr r="0" g="0" b="0"/>
        </a:effectRef>
        <a:fontRef idx="minor">
          <a:schemeClr val="lt1"/>
        </a:fontRef>
      </dsp:style>
      <dsp:txBody>
        <a:bodyPr lIns="139549" tIns="0" rIns="139549" bIns="0" anchor="ctr"/>
        <a:lstStyle>
          <a:lvl1pPr algn="l">
            <a:defRPr sz="1600"/>
          </a:lvl1pPr>
          <a:lvl2pPr marL="114300" indent="-114300" algn="l">
            <a:defRPr sz="1200"/>
          </a:lvl2pPr>
          <a:lvl3pPr marL="228600" indent="-114300" algn="l">
            <a:defRPr sz="1200"/>
          </a:lvl3pPr>
          <a:lvl4pPr marL="342900" indent="-114300" algn="l">
            <a:defRPr sz="1200"/>
          </a:lvl4pPr>
          <a:lvl5pPr marL="457200" indent="-114300" algn="l">
            <a:defRPr sz="1200"/>
          </a:lvl5pPr>
          <a:lvl6pPr marL="571500" indent="-114300" algn="l">
            <a:defRPr sz="1200"/>
          </a:lvl6pPr>
          <a:lvl7pPr marL="685800" indent="-114300" algn="l">
            <a:defRPr sz="1200"/>
          </a:lvl7pPr>
          <a:lvl8pPr marL="800100" indent="-114300" algn="l">
            <a:defRPr sz="1200"/>
          </a:lvl8pPr>
          <a:lvl9pPr marL="914400" indent="-114300" algn="l">
            <a:defRPr sz="1200"/>
          </a:lvl9pPr>
        </a:lstStyle>
        <a:p>
          <a:pPr lvl="0">
            <a:lnSpc>
              <a:spcPct val="100000"/>
            </a:lnSpc>
            <a:spcBef>
              <a:spcPct val="0"/>
            </a:spcBef>
            <a:spcAft>
              <a:spcPct val="35000"/>
            </a:spcAft>
          </a:pPr>
          <a:r>
            <a:rPr lang="zh-CN" altLang="en-US"/>
            <a:t>领导班子</a:t>
          </a:r>
        </a:p>
      </dsp:txBody>
      <dsp:txXfrm>
        <a:off x="263716" y="22632"/>
        <a:ext cx="3692017" cy="472320"/>
      </dsp:txXfrm>
    </dsp:sp>
    <dsp:sp modelId="{53F0F79E-FCD7-4CEA-B0F9-3B7D555C6570}">
      <dsp:nvSpPr>
        <dsp:cNvPr id="8" name="矩形 7"/>
        <dsp:cNvSpPr/>
      </dsp:nvSpPr>
      <dsp:spPr bwMode="white">
        <a:xfrm>
          <a:off x="0" y="1272232"/>
          <a:ext cx="5274310" cy="690880"/>
        </a:xfrm>
        <a:prstGeom prst="rect">
          <a:avLst/>
        </a:prstGeom>
      </dsp:spPr>
      <dsp:style>
        <a:lnRef idx="2">
          <a:schemeClr val="accent1"/>
        </a:lnRef>
        <a:fillRef idx="1">
          <a:schemeClr val="lt1">
            <a:alpha val="90000"/>
          </a:schemeClr>
        </a:fillRef>
        <a:effectRef idx="0">
          <a:scrgbClr r="0" g="0" b="0"/>
        </a:effectRef>
        <a:fontRef idx="minor"/>
      </dsp:style>
      <dsp:txBody>
        <a:bodyPr lIns="409345" tIns="333248" rIns="409345" bIns="113792" anchor="t"/>
        <a:lstStyle>
          <a:lvl1pPr algn="l">
            <a:defRPr sz="1600"/>
          </a:lvl1pPr>
          <a:lvl2pPr marL="171450" indent="-171450" algn="l">
            <a:defRPr sz="1600"/>
          </a:lvl2pPr>
          <a:lvl3pPr marL="342900" indent="-171450" algn="l">
            <a:defRPr sz="1600"/>
          </a:lvl3pPr>
          <a:lvl4pPr marL="514350" indent="-171450" algn="l">
            <a:defRPr sz="1600"/>
          </a:lvl4pPr>
          <a:lvl5pPr marL="685800" indent="-171450" algn="l">
            <a:defRPr sz="1600"/>
          </a:lvl5pPr>
          <a:lvl6pPr marL="857250" indent="-171450" algn="l">
            <a:defRPr sz="1600"/>
          </a:lvl6pPr>
          <a:lvl7pPr marL="1028700" indent="-171450" algn="l">
            <a:defRPr sz="1600"/>
          </a:lvl7pPr>
          <a:lvl8pPr marL="1200150" indent="-171450" algn="l">
            <a:defRPr sz="1600"/>
          </a:lvl8pPr>
          <a:lvl9pPr marL="1371600" indent="-171450" algn="l">
            <a:defRPr sz="1600"/>
          </a:lvl9pPr>
        </a:lstStyle>
        <a:p>
          <a:pPr lvl="1">
            <a:lnSpc>
              <a:spcPct val="100000"/>
            </a:lnSpc>
            <a:spcBef>
              <a:spcPct val="0"/>
            </a:spcBef>
            <a:spcAft>
              <a:spcPct val="15000"/>
            </a:spcAft>
            <a:buChar char="•"/>
          </a:pPr>
          <a:r>
            <a:rPr lang="zh-CN" altLang="en-US" b="0" i="0">
              <a:solidFill>
                <a:schemeClr val="dk1"/>
              </a:solidFill>
            </a:rPr>
            <a:t>负责馆内日常工作处理</a:t>
          </a:r>
          <a:endParaRPr lang="zh-CN" altLang="en-US">
            <a:solidFill>
              <a:schemeClr val="dk1"/>
            </a:solidFill>
          </a:endParaRPr>
        </a:p>
      </dsp:txBody>
      <dsp:txXfrm>
        <a:off x="0" y="1272232"/>
        <a:ext cx="5274310" cy="690880"/>
      </dsp:txXfrm>
    </dsp:sp>
    <dsp:sp modelId="{8F5717F9-23FE-4286-BFFE-5195567A9E4C}">
      <dsp:nvSpPr>
        <dsp:cNvPr id="7" name="圆角矩形 6"/>
        <dsp:cNvSpPr/>
      </dsp:nvSpPr>
      <dsp:spPr bwMode="white">
        <a:xfrm>
          <a:off x="263716" y="1036072"/>
          <a:ext cx="3692017" cy="472320"/>
        </a:xfrm>
        <a:prstGeom prst="roundRect">
          <a:avLst/>
        </a:prstGeom>
      </dsp:spPr>
      <dsp:style>
        <a:lnRef idx="2">
          <a:schemeClr val="lt1"/>
        </a:lnRef>
        <a:fillRef idx="1">
          <a:schemeClr val="accent1"/>
        </a:fillRef>
        <a:effectRef idx="0">
          <a:scrgbClr r="0" g="0" b="0"/>
        </a:effectRef>
        <a:fontRef idx="minor">
          <a:schemeClr val="lt1"/>
        </a:fontRef>
      </dsp:style>
      <dsp:txBody>
        <a:bodyPr lIns="139549" tIns="0" rIns="139549" bIns="0" anchor="ctr"/>
        <a:lstStyle>
          <a:lvl1pPr algn="l">
            <a:defRPr sz="1600"/>
          </a:lvl1pPr>
          <a:lvl2pPr marL="114300" indent="-114300" algn="l">
            <a:defRPr sz="1200"/>
          </a:lvl2pPr>
          <a:lvl3pPr marL="228600" indent="-114300" algn="l">
            <a:defRPr sz="1200"/>
          </a:lvl3pPr>
          <a:lvl4pPr marL="342900" indent="-114300" algn="l">
            <a:defRPr sz="1200"/>
          </a:lvl4pPr>
          <a:lvl5pPr marL="457200" indent="-114300" algn="l">
            <a:defRPr sz="1200"/>
          </a:lvl5pPr>
          <a:lvl6pPr marL="571500" indent="-114300" algn="l">
            <a:defRPr sz="1200"/>
          </a:lvl6pPr>
          <a:lvl7pPr marL="685800" indent="-114300" algn="l">
            <a:defRPr sz="1200"/>
          </a:lvl7pPr>
          <a:lvl8pPr marL="800100" indent="-114300" algn="l">
            <a:defRPr sz="1200"/>
          </a:lvl8pPr>
          <a:lvl9pPr marL="914400" indent="-114300" algn="l">
            <a:defRPr sz="1200"/>
          </a:lvl9pPr>
        </a:lstStyle>
        <a:p>
          <a:pPr lvl="0">
            <a:lnSpc>
              <a:spcPct val="100000"/>
            </a:lnSpc>
            <a:spcBef>
              <a:spcPct val="0"/>
            </a:spcBef>
            <a:spcAft>
              <a:spcPct val="35000"/>
            </a:spcAft>
          </a:pPr>
          <a:r>
            <a:rPr lang="zh-CN" altLang="en-US"/>
            <a:t>办公室 </a:t>
          </a:r>
        </a:p>
      </dsp:txBody>
      <dsp:txXfrm>
        <a:off x="263716" y="1036072"/>
        <a:ext cx="3692017" cy="472320"/>
      </dsp:txXfrm>
    </dsp:sp>
    <dsp:sp modelId="{62681C9A-64F1-41F2-AF19-A3021177A825}">
      <dsp:nvSpPr>
        <dsp:cNvPr id="11" name="矩形 10"/>
        <dsp:cNvSpPr/>
      </dsp:nvSpPr>
      <dsp:spPr bwMode="white">
        <a:xfrm>
          <a:off x="0" y="2285672"/>
          <a:ext cx="5274310" cy="690880"/>
        </a:xfrm>
        <a:prstGeom prst="rect">
          <a:avLst/>
        </a:prstGeom>
      </dsp:spPr>
      <dsp:style>
        <a:lnRef idx="2">
          <a:schemeClr val="accent1"/>
        </a:lnRef>
        <a:fillRef idx="1">
          <a:schemeClr val="lt1">
            <a:alpha val="90000"/>
          </a:schemeClr>
        </a:fillRef>
        <a:effectRef idx="0">
          <a:scrgbClr r="0" g="0" b="0"/>
        </a:effectRef>
        <a:fontRef idx="minor"/>
      </dsp:style>
      <dsp:txBody>
        <a:bodyPr lIns="409345" tIns="333248" rIns="409345" bIns="113792" anchor="t"/>
        <a:lstStyle>
          <a:lvl1pPr algn="l">
            <a:defRPr sz="1600"/>
          </a:lvl1pPr>
          <a:lvl2pPr marL="171450" indent="-171450" algn="l">
            <a:defRPr sz="1600"/>
          </a:lvl2pPr>
          <a:lvl3pPr marL="342900" indent="-171450" algn="l">
            <a:defRPr sz="1600"/>
          </a:lvl3pPr>
          <a:lvl4pPr marL="514350" indent="-171450" algn="l">
            <a:defRPr sz="1600"/>
          </a:lvl4pPr>
          <a:lvl5pPr marL="685800" indent="-171450" algn="l">
            <a:defRPr sz="1600"/>
          </a:lvl5pPr>
          <a:lvl6pPr marL="857250" indent="-171450" algn="l">
            <a:defRPr sz="1600"/>
          </a:lvl6pPr>
          <a:lvl7pPr marL="1028700" indent="-171450" algn="l">
            <a:defRPr sz="1600"/>
          </a:lvl7pPr>
          <a:lvl8pPr marL="1200150" indent="-171450" algn="l">
            <a:defRPr sz="1600"/>
          </a:lvl8pPr>
          <a:lvl9pPr marL="1371600" indent="-171450" algn="l">
            <a:defRPr sz="1600"/>
          </a:lvl9pPr>
        </a:lstStyle>
        <a:p>
          <a:pPr lvl="1">
            <a:lnSpc>
              <a:spcPct val="100000"/>
            </a:lnSpc>
            <a:spcBef>
              <a:spcPct val="0"/>
            </a:spcBef>
            <a:spcAft>
              <a:spcPct val="15000"/>
            </a:spcAft>
            <a:buChar char="•"/>
          </a:pPr>
          <a:r>
            <a:rPr lang="zh-CN" altLang="en-US" b="0" i="0">
              <a:solidFill>
                <a:schemeClr val="dk1"/>
              </a:solidFill>
            </a:rPr>
            <a:t>提供馆内纸本图书的借阅流通</a:t>
          </a:r>
          <a:endParaRPr lang="zh-CN" altLang="en-US">
            <a:solidFill>
              <a:schemeClr val="dk1"/>
            </a:solidFill>
          </a:endParaRPr>
        </a:p>
      </dsp:txBody>
      <dsp:txXfrm>
        <a:off x="0" y="2285672"/>
        <a:ext cx="5274310" cy="690880"/>
      </dsp:txXfrm>
    </dsp:sp>
    <dsp:sp modelId="{0DA9E7B1-A471-4077-A74F-B49E7F5E08AB}">
      <dsp:nvSpPr>
        <dsp:cNvPr id="10" name="圆角矩形 9"/>
        <dsp:cNvSpPr/>
      </dsp:nvSpPr>
      <dsp:spPr bwMode="white">
        <a:xfrm>
          <a:off x="263716" y="2049512"/>
          <a:ext cx="3692017" cy="472320"/>
        </a:xfrm>
        <a:prstGeom prst="roundRect">
          <a:avLst/>
        </a:prstGeom>
      </dsp:spPr>
      <dsp:style>
        <a:lnRef idx="2">
          <a:schemeClr val="lt1"/>
        </a:lnRef>
        <a:fillRef idx="1">
          <a:schemeClr val="accent1"/>
        </a:fillRef>
        <a:effectRef idx="0">
          <a:scrgbClr r="0" g="0" b="0"/>
        </a:effectRef>
        <a:fontRef idx="minor">
          <a:schemeClr val="lt1"/>
        </a:fontRef>
      </dsp:style>
      <dsp:txBody>
        <a:bodyPr lIns="139549" tIns="0" rIns="139549" bIns="0" anchor="ctr"/>
        <a:lstStyle>
          <a:lvl1pPr algn="l">
            <a:defRPr sz="1600"/>
          </a:lvl1pPr>
          <a:lvl2pPr marL="114300" indent="-114300" algn="l">
            <a:defRPr sz="1200"/>
          </a:lvl2pPr>
          <a:lvl3pPr marL="228600" indent="-114300" algn="l">
            <a:defRPr sz="1200"/>
          </a:lvl3pPr>
          <a:lvl4pPr marL="342900" indent="-114300" algn="l">
            <a:defRPr sz="1200"/>
          </a:lvl4pPr>
          <a:lvl5pPr marL="457200" indent="-114300" algn="l">
            <a:defRPr sz="1200"/>
          </a:lvl5pPr>
          <a:lvl6pPr marL="571500" indent="-114300" algn="l">
            <a:defRPr sz="1200"/>
          </a:lvl6pPr>
          <a:lvl7pPr marL="685800" indent="-114300" algn="l">
            <a:defRPr sz="1200"/>
          </a:lvl7pPr>
          <a:lvl8pPr marL="800100" indent="-114300" algn="l">
            <a:defRPr sz="1200"/>
          </a:lvl8pPr>
          <a:lvl9pPr marL="914400" indent="-114300" algn="l">
            <a:defRPr sz="1200"/>
          </a:lvl9pPr>
        </a:lstStyle>
        <a:p>
          <a:pPr lvl="0">
            <a:lnSpc>
              <a:spcPct val="100000"/>
            </a:lnSpc>
            <a:spcBef>
              <a:spcPct val="0"/>
            </a:spcBef>
            <a:spcAft>
              <a:spcPct val="35000"/>
            </a:spcAft>
          </a:pPr>
          <a:r>
            <a:rPr lang="zh-CN" altLang="en-US"/>
            <a:t>外借部</a:t>
          </a:r>
        </a:p>
      </dsp:txBody>
      <dsp:txXfrm>
        <a:off x="263716" y="2049512"/>
        <a:ext cx="3692017" cy="472320"/>
      </dsp:txXfrm>
    </dsp:sp>
    <dsp:sp modelId="{00F9B2DA-62AB-46AD-9807-07FF35BE3E17}">
      <dsp:nvSpPr>
        <dsp:cNvPr id="14" name="矩形 13"/>
        <dsp:cNvSpPr/>
      </dsp:nvSpPr>
      <dsp:spPr bwMode="white">
        <a:xfrm>
          <a:off x="0" y="3299112"/>
          <a:ext cx="5274310" cy="690880"/>
        </a:xfrm>
        <a:prstGeom prst="rect">
          <a:avLst/>
        </a:prstGeom>
      </dsp:spPr>
      <dsp:style>
        <a:lnRef idx="2">
          <a:schemeClr val="accent1"/>
        </a:lnRef>
        <a:fillRef idx="1">
          <a:schemeClr val="lt1">
            <a:alpha val="90000"/>
          </a:schemeClr>
        </a:fillRef>
        <a:effectRef idx="0">
          <a:scrgbClr r="0" g="0" b="0"/>
        </a:effectRef>
        <a:fontRef idx="minor"/>
      </dsp:style>
      <dsp:txBody>
        <a:bodyPr lIns="409345" tIns="333248" rIns="409345" bIns="113792" anchor="t"/>
        <a:lstStyle>
          <a:lvl1pPr algn="l">
            <a:defRPr sz="1600"/>
          </a:lvl1pPr>
          <a:lvl2pPr marL="171450" indent="-171450" algn="l">
            <a:defRPr sz="1600"/>
          </a:lvl2pPr>
          <a:lvl3pPr marL="342900" indent="-171450" algn="l">
            <a:defRPr sz="1600"/>
          </a:lvl3pPr>
          <a:lvl4pPr marL="514350" indent="-171450" algn="l">
            <a:defRPr sz="1600"/>
          </a:lvl4pPr>
          <a:lvl5pPr marL="685800" indent="-171450" algn="l">
            <a:defRPr sz="1600"/>
          </a:lvl5pPr>
          <a:lvl6pPr marL="857250" indent="-171450" algn="l">
            <a:defRPr sz="1600"/>
          </a:lvl6pPr>
          <a:lvl7pPr marL="1028700" indent="-171450" algn="l">
            <a:defRPr sz="1600"/>
          </a:lvl7pPr>
          <a:lvl8pPr marL="1200150" indent="-171450" algn="l">
            <a:defRPr sz="1600"/>
          </a:lvl8pPr>
          <a:lvl9pPr marL="1371600" indent="-171450" algn="l">
            <a:defRPr sz="1600"/>
          </a:lvl9pPr>
        </a:lstStyle>
        <a:p>
          <a:pPr lvl="1">
            <a:lnSpc>
              <a:spcPct val="100000"/>
            </a:lnSpc>
            <a:spcBef>
              <a:spcPct val="0"/>
            </a:spcBef>
            <a:spcAft>
              <a:spcPct val="15000"/>
            </a:spcAft>
            <a:buChar char="•"/>
          </a:pPr>
          <a:r>
            <a:rPr lang="zh-CN" altLang="en-US" b="0" i="0">
              <a:solidFill>
                <a:schemeClr val="dk1"/>
              </a:solidFill>
            </a:rPr>
            <a:t>负责书籍的采购编目</a:t>
          </a:r>
          <a:endParaRPr lang="zh-CN" altLang="en-US">
            <a:solidFill>
              <a:schemeClr val="dk1"/>
            </a:solidFill>
          </a:endParaRPr>
        </a:p>
      </dsp:txBody>
      <dsp:txXfrm>
        <a:off x="0" y="3299112"/>
        <a:ext cx="5274310" cy="690880"/>
      </dsp:txXfrm>
    </dsp:sp>
    <dsp:sp modelId="{D8A0E244-0782-44B8-9314-F070FFB342BE}">
      <dsp:nvSpPr>
        <dsp:cNvPr id="13" name="圆角矩形 12"/>
        <dsp:cNvSpPr/>
      </dsp:nvSpPr>
      <dsp:spPr bwMode="white">
        <a:xfrm>
          <a:off x="263716" y="3062952"/>
          <a:ext cx="3692017" cy="472320"/>
        </a:xfrm>
        <a:prstGeom prst="roundRect">
          <a:avLst/>
        </a:prstGeom>
      </dsp:spPr>
      <dsp:style>
        <a:lnRef idx="2">
          <a:schemeClr val="lt1"/>
        </a:lnRef>
        <a:fillRef idx="1">
          <a:schemeClr val="accent1"/>
        </a:fillRef>
        <a:effectRef idx="0">
          <a:scrgbClr r="0" g="0" b="0"/>
        </a:effectRef>
        <a:fontRef idx="minor">
          <a:schemeClr val="lt1"/>
        </a:fontRef>
      </dsp:style>
      <dsp:txBody>
        <a:bodyPr lIns="139549" tIns="0" rIns="139549" bIns="0" anchor="ctr"/>
        <a:lstStyle>
          <a:lvl1pPr algn="l">
            <a:defRPr sz="1600"/>
          </a:lvl1pPr>
          <a:lvl2pPr marL="114300" indent="-114300" algn="l">
            <a:defRPr sz="1200"/>
          </a:lvl2pPr>
          <a:lvl3pPr marL="228600" indent="-114300" algn="l">
            <a:defRPr sz="1200"/>
          </a:lvl3pPr>
          <a:lvl4pPr marL="342900" indent="-114300" algn="l">
            <a:defRPr sz="1200"/>
          </a:lvl4pPr>
          <a:lvl5pPr marL="457200" indent="-114300" algn="l">
            <a:defRPr sz="1200"/>
          </a:lvl5pPr>
          <a:lvl6pPr marL="571500" indent="-114300" algn="l">
            <a:defRPr sz="1200"/>
          </a:lvl6pPr>
          <a:lvl7pPr marL="685800" indent="-114300" algn="l">
            <a:defRPr sz="1200"/>
          </a:lvl7pPr>
          <a:lvl8pPr marL="800100" indent="-114300" algn="l">
            <a:defRPr sz="1200"/>
          </a:lvl8pPr>
          <a:lvl9pPr marL="914400" indent="-114300" algn="l">
            <a:defRPr sz="1200"/>
          </a:lvl9pPr>
        </a:lstStyle>
        <a:p>
          <a:pPr lvl="0">
            <a:lnSpc>
              <a:spcPct val="100000"/>
            </a:lnSpc>
            <a:spcBef>
              <a:spcPct val="0"/>
            </a:spcBef>
            <a:spcAft>
              <a:spcPct val="35000"/>
            </a:spcAft>
          </a:pPr>
          <a:r>
            <a:rPr lang="zh-CN" altLang="en-US"/>
            <a:t>采编部</a:t>
          </a:r>
        </a:p>
      </dsp:txBody>
      <dsp:txXfrm>
        <a:off x="263716" y="3062952"/>
        <a:ext cx="3692017" cy="472320"/>
      </dsp:txXfrm>
    </dsp:sp>
    <dsp:sp modelId="{6C6AA14F-85F4-4A7E-A409-CB38ED1495F4}">
      <dsp:nvSpPr>
        <dsp:cNvPr id="17" name="矩形 16"/>
        <dsp:cNvSpPr/>
      </dsp:nvSpPr>
      <dsp:spPr bwMode="white">
        <a:xfrm>
          <a:off x="0" y="4312553"/>
          <a:ext cx="5274310" cy="934720"/>
        </a:xfrm>
        <a:prstGeom prst="rect">
          <a:avLst/>
        </a:prstGeom>
      </dsp:spPr>
      <dsp:style>
        <a:lnRef idx="2">
          <a:schemeClr val="accent1"/>
        </a:lnRef>
        <a:fillRef idx="1">
          <a:schemeClr val="lt1">
            <a:alpha val="90000"/>
          </a:schemeClr>
        </a:fillRef>
        <a:effectRef idx="0">
          <a:scrgbClr r="0" g="0" b="0"/>
        </a:effectRef>
        <a:fontRef idx="minor"/>
      </dsp:style>
      <dsp:txBody>
        <a:bodyPr lIns="409345" tIns="333248" rIns="409345" bIns="113792" anchor="t"/>
        <a:lstStyle>
          <a:lvl1pPr algn="l">
            <a:defRPr sz="1600"/>
          </a:lvl1pPr>
          <a:lvl2pPr marL="171450" indent="-171450" algn="l">
            <a:defRPr sz="1600"/>
          </a:lvl2pPr>
          <a:lvl3pPr marL="342900" indent="-171450" algn="l">
            <a:defRPr sz="1600"/>
          </a:lvl3pPr>
          <a:lvl4pPr marL="514350" indent="-171450" algn="l">
            <a:defRPr sz="1600"/>
          </a:lvl4pPr>
          <a:lvl5pPr marL="685800" indent="-171450" algn="l">
            <a:defRPr sz="1600"/>
          </a:lvl5pPr>
          <a:lvl6pPr marL="857250" indent="-171450" algn="l">
            <a:defRPr sz="1600"/>
          </a:lvl6pPr>
          <a:lvl7pPr marL="1028700" indent="-171450" algn="l">
            <a:defRPr sz="1600"/>
          </a:lvl7pPr>
          <a:lvl8pPr marL="1200150" indent="-171450" algn="l">
            <a:defRPr sz="1600"/>
          </a:lvl8pPr>
          <a:lvl9pPr marL="1371600" indent="-171450" algn="l">
            <a:defRPr sz="1600"/>
          </a:lvl9pPr>
        </a:lstStyle>
        <a:p>
          <a:pPr lvl="1">
            <a:lnSpc>
              <a:spcPct val="100000"/>
            </a:lnSpc>
            <a:spcBef>
              <a:spcPct val="0"/>
            </a:spcBef>
            <a:spcAft>
              <a:spcPct val="15000"/>
            </a:spcAft>
            <a:buChar char="•"/>
          </a:pPr>
          <a:r>
            <a:rPr lang="zh-CN" altLang="en-US" b="0" i="0">
              <a:solidFill>
                <a:schemeClr val="dk1"/>
              </a:solidFill>
            </a:rPr>
            <a:t>负责馆内综合阅览室的日常开放管理工作，提供少儿图书、期刊借阅流通</a:t>
          </a:r>
          <a:endParaRPr lang="zh-CN" altLang="en-US">
            <a:solidFill>
              <a:schemeClr val="dk1"/>
            </a:solidFill>
          </a:endParaRPr>
        </a:p>
      </dsp:txBody>
      <dsp:txXfrm>
        <a:off x="0" y="4312553"/>
        <a:ext cx="5274310" cy="934720"/>
      </dsp:txXfrm>
    </dsp:sp>
    <dsp:sp modelId="{4E2B74ED-01FF-4523-9FE7-4B4649A40A63}">
      <dsp:nvSpPr>
        <dsp:cNvPr id="16" name="圆角矩形 15"/>
        <dsp:cNvSpPr/>
      </dsp:nvSpPr>
      <dsp:spPr bwMode="white">
        <a:xfrm>
          <a:off x="263716" y="4076392"/>
          <a:ext cx="3692017" cy="472320"/>
        </a:xfrm>
        <a:prstGeom prst="roundRect">
          <a:avLst/>
        </a:prstGeom>
      </dsp:spPr>
      <dsp:style>
        <a:lnRef idx="2">
          <a:schemeClr val="lt1"/>
        </a:lnRef>
        <a:fillRef idx="1">
          <a:schemeClr val="accent1"/>
        </a:fillRef>
        <a:effectRef idx="0">
          <a:scrgbClr r="0" g="0" b="0"/>
        </a:effectRef>
        <a:fontRef idx="minor">
          <a:schemeClr val="lt1"/>
        </a:fontRef>
      </dsp:style>
      <dsp:txBody>
        <a:bodyPr lIns="139549" tIns="0" rIns="139549" bIns="0" anchor="ctr"/>
        <a:lstStyle>
          <a:lvl1pPr algn="l">
            <a:defRPr sz="1600"/>
          </a:lvl1pPr>
          <a:lvl2pPr marL="114300" indent="-114300" algn="l">
            <a:defRPr sz="1200"/>
          </a:lvl2pPr>
          <a:lvl3pPr marL="228600" indent="-114300" algn="l">
            <a:defRPr sz="1200"/>
          </a:lvl3pPr>
          <a:lvl4pPr marL="342900" indent="-114300" algn="l">
            <a:defRPr sz="1200"/>
          </a:lvl4pPr>
          <a:lvl5pPr marL="457200" indent="-114300" algn="l">
            <a:defRPr sz="1200"/>
          </a:lvl5pPr>
          <a:lvl6pPr marL="571500" indent="-114300" algn="l">
            <a:defRPr sz="1200"/>
          </a:lvl6pPr>
          <a:lvl7pPr marL="685800" indent="-114300" algn="l">
            <a:defRPr sz="1200"/>
          </a:lvl7pPr>
          <a:lvl8pPr marL="800100" indent="-114300" algn="l">
            <a:defRPr sz="1200"/>
          </a:lvl8pPr>
          <a:lvl9pPr marL="914400" indent="-114300" algn="l">
            <a:defRPr sz="1200"/>
          </a:lvl9pPr>
        </a:lstStyle>
        <a:p>
          <a:pPr lvl="0">
            <a:lnSpc>
              <a:spcPct val="100000"/>
            </a:lnSpc>
            <a:spcBef>
              <a:spcPct val="0"/>
            </a:spcBef>
            <a:spcAft>
              <a:spcPct val="35000"/>
            </a:spcAft>
          </a:pPr>
          <a:r>
            <a:rPr lang="zh-CN" altLang="en-US"/>
            <a:t>阅览部</a:t>
          </a:r>
        </a:p>
      </dsp:txBody>
      <dsp:txXfrm>
        <a:off x="263716" y="4076392"/>
        <a:ext cx="3692017" cy="472320"/>
      </dsp:txXfrm>
    </dsp:sp>
    <dsp:sp modelId="{4663291D-0400-453C-9177-8DC64CF55974}">
      <dsp:nvSpPr>
        <dsp:cNvPr id="20" name="矩形 19"/>
        <dsp:cNvSpPr/>
      </dsp:nvSpPr>
      <dsp:spPr bwMode="white">
        <a:xfrm>
          <a:off x="0" y="5569833"/>
          <a:ext cx="5274310" cy="934720"/>
        </a:xfrm>
        <a:prstGeom prst="rect">
          <a:avLst/>
        </a:prstGeom>
      </dsp:spPr>
      <dsp:style>
        <a:lnRef idx="2">
          <a:schemeClr val="accent1"/>
        </a:lnRef>
        <a:fillRef idx="1">
          <a:schemeClr val="lt1">
            <a:alpha val="90000"/>
          </a:schemeClr>
        </a:fillRef>
        <a:effectRef idx="0">
          <a:scrgbClr r="0" g="0" b="0"/>
        </a:effectRef>
        <a:fontRef idx="minor"/>
      </dsp:style>
      <dsp:txBody>
        <a:bodyPr lIns="409345" tIns="333248" rIns="409345" bIns="113792" anchor="t"/>
        <a:lstStyle>
          <a:lvl1pPr algn="l">
            <a:defRPr sz="1600"/>
          </a:lvl1pPr>
          <a:lvl2pPr marL="171450" indent="-171450" algn="l">
            <a:defRPr sz="1600"/>
          </a:lvl2pPr>
          <a:lvl3pPr marL="342900" indent="-171450" algn="l">
            <a:defRPr sz="1600"/>
          </a:lvl3pPr>
          <a:lvl4pPr marL="514350" indent="-171450" algn="l">
            <a:defRPr sz="1600"/>
          </a:lvl4pPr>
          <a:lvl5pPr marL="685800" indent="-171450" algn="l">
            <a:defRPr sz="1600"/>
          </a:lvl5pPr>
          <a:lvl6pPr marL="857250" indent="-171450" algn="l">
            <a:defRPr sz="1600"/>
          </a:lvl6pPr>
          <a:lvl7pPr marL="1028700" indent="-171450" algn="l">
            <a:defRPr sz="1600"/>
          </a:lvl7pPr>
          <a:lvl8pPr marL="1200150" indent="-171450" algn="l">
            <a:defRPr sz="1600"/>
          </a:lvl8pPr>
          <a:lvl9pPr marL="1371600" indent="-171450" algn="l">
            <a:defRPr sz="1600"/>
          </a:lvl9pPr>
        </a:lstStyle>
        <a:p>
          <a:pPr lvl="1">
            <a:lnSpc>
              <a:spcPct val="100000"/>
            </a:lnSpc>
            <a:spcBef>
              <a:spcPct val="0"/>
            </a:spcBef>
            <a:spcAft>
              <a:spcPct val="15000"/>
            </a:spcAft>
            <a:buChar char="•"/>
          </a:pPr>
          <a:r>
            <a:rPr lang="zh-CN" altLang="en-US" b="0" i="0">
              <a:solidFill>
                <a:schemeClr val="dk1"/>
              </a:solidFill>
            </a:rPr>
            <a:t>负责馆内网络维护，机房维护，计算机维护，电子阅览室维护等信息技术工作</a:t>
          </a:r>
          <a:endParaRPr lang="zh-CN" altLang="en-US">
            <a:solidFill>
              <a:schemeClr val="dk1"/>
            </a:solidFill>
          </a:endParaRPr>
        </a:p>
      </dsp:txBody>
      <dsp:txXfrm>
        <a:off x="0" y="5569833"/>
        <a:ext cx="5274310" cy="934720"/>
      </dsp:txXfrm>
    </dsp:sp>
    <dsp:sp modelId="{09175C90-C700-4FA0-85CB-1B39ED292FC7}">
      <dsp:nvSpPr>
        <dsp:cNvPr id="19" name="圆角矩形 18"/>
        <dsp:cNvSpPr/>
      </dsp:nvSpPr>
      <dsp:spPr bwMode="white">
        <a:xfrm>
          <a:off x="263716" y="5333672"/>
          <a:ext cx="3692017" cy="472320"/>
        </a:xfrm>
        <a:prstGeom prst="roundRect">
          <a:avLst/>
        </a:prstGeom>
      </dsp:spPr>
      <dsp:style>
        <a:lnRef idx="2">
          <a:schemeClr val="lt1"/>
        </a:lnRef>
        <a:fillRef idx="1">
          <a:schemeClr val="accent1"/>
        </a:fillRef>
        <a:effectRef idx="0">
          <a:scrgbClr r="0" g="0" b="0"/>
        </a:effectRef>
        <a:fontRef idx="minor">
          <a:schemeClr val="lt1"/>
        </a:fontRef>
      </dsp:style>
      <dsp:txBody>
        <a:bodyPr lIns="139549" tIns="0" rIns="139549" bIns="0" anchor="ctr"/>
        <a:lstStyle>
          <a:lvl1pPr algn="l">
            <a:defRPr sz="1600"/>
          </a:lvl1pPr>
          <a:lvl2pPr marL="114300" indent="-114300" algn="l">
            <a:defRPr sz="1200"/>
          </a:lvl2pPr>
          <a:lvl3pPr marL="228600" indent="-114300" algn="l">
            <a:defRPr sz="1200"/>
          </a:lvl3pPr>
          <a:lvl4pPr marL="342900" indent="-114300" algn="l">
            <a:defRPr sz="1200"/>
          </a:lvl4pPr>
          <a:lvl5pPr marL="457200" indent="-114300" algn="l">
            <a:defRPr sz="1200"/>
          </a:lvl5pPr>
          <a:lvl6pPr marL="571500" indent="-114300" algn="l">
            <a:defRPr sz="1200"/>
          </a:lvl6pPr>
          <a:lvl7pPr marL="685800" indent="-114300" algn="l">
            <a:defRPr sz="1200"/>
          </a:lvl7pPr>
          <a:lvl8pPr marL="800100" indent="-114300" algn="l">
            <a:defRPr sz="1200"/>
          </a:lvl8pPr>
          <a:lvl9pPr marL="914400" indent="-114300" algn="l">
            <a:defRPr sz="1200"/>
          </a:lvl9pPr>
        </a:lstStyle>
        <a:p>
          <a:pPr lvl="0">
            <a:lnSpc>
              <a:spcPct val="100000"/>
            </a:lnSpc>
            <a:spcBef>
              <a:spcPct val="0"/>
            </a:spcBef>
            <a:spcAft>
              <a:spcPct val="35000"/>
            </a:spcAft>
          </a:pPr>
          <a:r>
            <a:rPr lang="zh-CN" altLang="en-US"/>
            <a:t>计算机中心</a:t>
          </a:r>
        </a:p>
      </dsp:txBody>
      <dsp:txXfrm>
        <a:off x="263716" y="5333672"/>
        <a:ext cx="3692017" cy="472320"/>
      </dsp:txXfrm>
    </dsp:sp>
    <dsp:sp modelId="{9FCD0A91-73AC-458D-ACB9-C60ED6147107}">
      <dsp:nvSpPr>
        <dsp:cNvPr id="23" name="矩形 22"/>
        <dsp:cNvSpPr/>
      </dsp:nvSpPr>
      <dsp:spPr bwMode="white">
        <a:xfrm>
          <a:off x="0" y="6827113"/>
          <a:ext cx="5274310" cy="690880"/>
        </a:xfrm>
        <a:prstGeom prst="rect">
          <a:avLst/>
        </a:prstGeom>
      </dsp:spPr>
      <dsp:style>
        <a:lnRef idx="2">
          <a:schemeClr val="accent1"/>
        </a:lnRef>
        <a:fillRef idx="1">
          <a:schemeClr val="lt1">
            <a:alpha val="90000"/>
          </a:schemeClr>
        </a:fillRef>
        <a:effectRef idx="0">
          <a:scrgbClr r="0" g="0" b="0"/>
        </a:effectRef>
        <a:fontRef idx="minor"/>
      </dsp:style>
      <dsp:txBody>
        <a:bodyPr lIns="409345" tIns="333248" rIns="409345" bIns="113792" anchor="t"/>
        <a:lstStyle>
          <a:lvl1pPr algn="l">
            <a:defRPr sz="1600"/>
          </a:lvl1pPr>
          <a:lvl2pPr marL="171450" indent="-171450" algn="l">
            <a:defRPr sz="1600"/>
          </a:lvl2pPr>
          <a:lvl3pPr marL="342900" indent="-171450" algn="l">
            <a:defRPr sz="1600"/>
          </a:lvl3pPr>
          <a:lvl4pPr marL="514350" indent="-171450" algn="l">
            <a:defRPr sz="1600"/>
          </a:lvl4pPr>
          <a:lvl5pPr marL="685800" indent="-171450" algn="l">
            <a:defRPr sz="1600"/>
          </a:lvl5pPr>
          <a:lvl6pPr marL="857250" indent="-171450" algn="l">
            <a:defRPr sz="1600"/>
          </a:lvl6pPr>
          <a:lvl7pPr marL="1028700" indent="-171450" algn="l">
            <a:defRPr sz="1600"/>
          </a:lvl7pPr>
          <a:lvl8pPr marL="1200150" indent="-171450" algn="l">
            <a:defRPr sz="1600"/>
          </a:lvl8pPr>
          <a:lvl9pPr marL="1371600" indent="-171450" algn="l">
            <a:defRPr sz="1600"/>
          </a:lvl9pPr>
        </a:lstStyle>
        <a:p>
          <a:pPr lvl="1">
            <a:lnSpc>
              <a:spcPct val="100000"/>
            </a:lnSpc>
            <a:spcBef>
              <a:spcPct val="0"/>
            </a:spcBef>
            <a:spcAft>
              <a:spcPct val="15000"/>
            </a:spcAft>
            <a:buChar char="•"/>
          </a:pPr>
          <a:r>
            <a:rPr lang="zh-CN" altLang="en-US" b="0" i="0">
              <a:solidFill>
                <a:schemeClr val="dk1"/>
              </a:solidFill>
            </a:rPr>
            <a:t>负责图书馆宣传辅导工作</a:t>
          </a:r>
          <a:endParaRPr lang="zh-CN" altLang="en-US">
            <a:solidFill>
              <a:schemeClr val="dk1"/>
            </a:solidFill>
          </a:endParaRPr>
        </a:p>
      </dsp:txBody>
      <dsp:txXfrm>
        <a:off x="0" y="6827113"/>
        <a:ext cx="5274310" cy="690880"/>
      </dsp:txXfrm>
    </dsp:sp>
    <dsp:sp modelId="{F2B46AEB-DD5D-4EF3-AA6A-F13A9A9BA059}">
      <dsp:nvSpPr>
        <dsp:cNvPr id="22" name="圆角矩形 21"/>
        <dsp:cNvSpPr/>
      </dsp:nvSpPr>
      <dsp:spPr bwMode="white">
        <a:xfrm>
          <a:off x="263716" y="6590953"/>
          <a:ext cx="3692017" cy="472320"/>
        </a:xfrm>
        <a:prstGeom prst="roundRect">
          <a:avLst/>
        </a:prstGeom>
      </dsp:spPr>
      <dsp:style>
        <a:lnRef idx="2">
          <a:schemeClr val="lt1"/>
        </a:lnRef>
        <a:fillRef idx="1">
          <a:schemeClr val="accent1"/>
        </a:fillRef>
        <a:effectRef idx="0">
          <a:scrgbClr r="0" g="0" b="0"/>
        </a:effectRef>
        <a:fontRef idx="minor">
          <a:schemeClr val="lt1"/>
        </a:fontRef>
      </dsp:style>
      <dsp:txBody>
        <a:bodyPr lIns="139549" tIns="0" rIns="139549" bIns="0" anchor="ctr"/>
        <a:lstStyle>
          <a:lvl1pPr algn="l">
            <a:defRPr sz="1600"/>
          </a:lvl1pPr>
          <a:lvl2pPr marL="114300" indent="-114300" algn="l">
            <a:defRPr sz="1200"/>
          </a:lvl2pPr>
          <a:lvl3pPr marL="228600" indent="-114300" algn="l">
            <a:defRPr sz="1200"/>
          </a:lvl3pPr>
          <a:lvl4pPr marL="342900" indent="-114300" algn="l">
            <a:defRPr sz="1200"/>
          </a:lvl4pPr>
          <a:lvl5pPr marL="457200" indent="-114300" algn="l">
            <a:defRPr sz="1200"/>
          </a:lvl5pPr>
          <a:lvl6pPr marL="571500" indent="-114300" algn="l">
            <a:defRPr sz="1200"/>
          </a:lvl6pPr>
          <a:lvl7pPr marL="685800" indent="-114300" algn="l">
            <a:defRPr sz="1200"/>
          </a:lvl7pPr>
          <a:lvl8pPr marL="800100" indent="-114300" algn="l">
            <a:defRPr sz="1200"/>
          </a:lvl8pPr>
          <a:lvl9pPr marL="914400" indent="-114300" algn="l">
            <a:defRPr sz="1200"/>
          </a:lvl9pPr>
        </a:lstStyle>
        <a:p>
          <a:pPr lvl="0">
            <a:lnSpc>
              <a:spcPct val="100000"/>
            </a:lnSpc>
            <a:spcBef>
              <a:spcPct val="0"/>
            </a:spcBef>
            <a:spcAft>
              <a:spcPct val="35000"/>
            </a:spcAft>
          </a:pPr>
          <a:r>
            <a:rPr lang="zh-CN" altLang="en-US"/>
            <a:t>宣传辅导部</a:t>
          </a:r>
        </a:p>
      </dsp:txBody>
      <dsp:txXfrm>
        <a:off x="263716" y="6590953"/>
        <a:ext cx="3692017" cy="472320"/>
      </dsp:txXfrm>
    </dsp:sp>
    <dsp:sp modelId="{2D6E9C0E-C3F6-455E-9976-7DEFC381D98C}">
      <dsp:nvSpPr>
        <dsp:cNvPr id="3" name="矩形 2" hidden="1"/>
        <dsp:cNvSpPr/>
      </dsp:nvSpPr>
      <dsp:spPr>
        <a:xfrm>
          <a:off x="0" y="22632"/>
          <a:ext cx="263716" cy="472320"/>
        </a:xfrm>
        <a:prstGeom prst="rect">
          <a:avLst/>
        </a:prstGeom>
      </dsp:spPr>
      <dsp:txXfrm>
        <a:off x="0" y="22632"/>
        <a:ext cx="263716" cy="472320"/>
      </dsp:txXfrm>
    </dsp:sp>
    <dsp:sp modelId="{ACE68A39-71A9-4838-8A30-6EF701506461}">
      <dsp:nvSpPr>
        <dsp:cNvPr id="6" name="矩形 5" hidden="1"/>
        <dsp:cNvSpPr/>
      </dsp:nvSpPr>
      <dsp:spPr>
        <a:xfrm>
          <a:off x="0" y="1036072"/>
          <a:ext cx="263716" cy="472320"/>
        </a:xfrm>
        <a:prstGeom prst="rect">
          <a:avLst/>
        </a:prstGeom>
      </dsp:spPr>
      <dsp:txXfrm>
        <a:off x="0" y="1036072"/>
        <a:ext cx="263716" cy="472320"/>
      </dsp:txXfrm>
    </dsp:sp>
    <dsp:sp modelId="{5FC5608C-3588-4328-B710-7B43C59ADDF0}">
      <dsp:nvSpPr>
        <dsp:cNvPr id="9" name="矩形 8" hidden="1"/>
        <dsp:cNvSpPr/>
      </dsp:nvSpPr>
      <dsp:spPr>
        <a:xfrm>
          <a:off x="0" y="2049512"/>
          <a:ext cx="263716" cy="472320"/>
        </a:xfrm>
        <a:prstGeom prst="rect">
          <a:avLst/>
        </a:prstGeom>
      </dsp:spPr>
      <dsp:txXfrm>
        <a:off x="0" y="2049512"/>
        <a:ext cx="263716" cy="472320"/>
      </dsp:txXfrm>
    </dsp:sp>
    <dsp:sp modelId="{FAA46A77-ED04-4F9F-A3B9-74B8301F5E92}">
      <dsp:nvSpPr>
        <dsp:cNvPr id="12" name="矩形 11" hidden="1"/>
        <dsp:cNvSpPr/>
      </dsp:nvSpPr>
      <dsp:spPr>
        <a:xfrm>
          <a:off x="0" y="3062952"/>
          <a:ext cx="263716" cy="472320"/>
        </a:xfrm>
        <a:prstGeom prst="rect">
          <a:avLst/>
        </a:prstGeom>
      </dsp:spPr>
      <dsp:txXfrm>
        <a:off x="0" y="3062952"/>
        <a:ext cx="263716" cy="472320"/>
      </dsp:txXfrm>
    </dsp:sp>
    <dsp:sp modelId="{8BFC868F-22DA-4E82-8BCC-A5C740AE902B}">
      <dsp:nvSpPr>
        <dsp:cNvPr id="15" name="矩形 14" hidden="1"/>
        <dsp:cNvSpPr/>
      </dsp:nvSpPr>
      <dsp:spPr>
        <a:xfrm>
          <a:off x="0" y="4076392"/>
          <a:ext cx="263716" cy="472320"/>
        </a:xfrm>
        <a:prstGeom prst="rect">
          <a:avLst/>
        </a:prstGeom>
      </dsp:spPr>
      <dsp:txXfrm>
        <a:off x="0" y="4076392"/>
        <a:ext cx="263716" cy="472320"/>
      </dsp:txXfrm>
    </dsp:sp>
    <dsp:sp modelId="{617390E4-ED24-46D4-AFE9-559A460C2519}">
      <dsp:nvSpPr>
        <dsp:cNvPr id="18" name="矩形 17" hidden="1"/>
        <dsp:cNvSpPr/>
      </dsp:nvSpPr>
      <dsp:spPr>
        <a:xfrm>
          <a:off x="0" y="5333672"/>
          <a:ext cx="263716" cy="472320"/>
        </a:xfrm>
        <a:prstGeom prst="rect">
          <a:avLst/>
        </a:prstGeom>
      </dsp:spPr>
      <dsp:txXfrm>
        <a:off x="0" y="5333672"/>
        <a:ext cx="263716" cy="472320"/>
      </dsp:txXfrm>
    </dsp:sp>
    <dsp:sp modelId="{9EC53C1B-EE3D-44BA-AAF8-4028414EECAE}">
      <dsp:nvSpPr>
        <dsp:cNvPr id="21" name="矩形 20" hidden="1"/>
        <dsp:cNvSpPr/>
      </dsp:nvSpPr>
      <dsp:spPr>
        <a:xfrm>
          <a:off x="0" y="6590953"/>
          <a:ext cx="263716" cy="472320"/>
        </a:xfrm>
        <a:prstGeom prst="rect">
          <a:avLst/>
        </a:prstGeom>
      </dsp:spPr>
      <dsp:txXfrm>
        <a:off x="0" y="6590953"/>
        <a:ext cx="263716" cy="472320"/>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nodeHorzAlign" val="l"/>
          <dgm:param type="horzAlign" val="l"/>
        </dgm:alg>
      </dgm:if>
      <dgm:else name="Name2">
        <dgm:alg type="lin">
          <dgm:param type="linDir" val="fromT"/>
          <dgm:param type="vertAlign" val="mid"/>
          <dgm:param type="nodeHorzAlign" val="r"/>
          <dgm:param typ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nodeHorzAlign" val="l"/>
              <dgm:param type="horzAlign" val="l"/>
            </dgm:alg>
          </dgm:if>
          <dgm:else name="Name6">
            <dgm:alg type="lin">
              <dgm:param type="linDir" val="fromR"/>
              <dgm:param type="nodeHorzAlign" val="r"/>
              <dgm:param typ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带状">
  <a:themeElements>
    <a:clrScheme name="带状">
      <a:dk1>
        <a:srgbClr val="2C2C2C"/>
      </a:dk1>
      <a:lt1>
        <a:srgbClr val="FFFFFF"/>
      </a:lt1>
      <a:dk2>
        <a:srgbClr val="099BDD"/>
      </a:dk2>
      <a:lt2>
        <a:srgbClr val="F2F2F2"/>
      </a:lt2>
      <a:accent1>
        <a:srgbClr val="FFC000"/>
      </a:accent1>
      <a:accent2>
        <a:srgbClr val="A5D028"/>
      </a:accent2>
      <a:accent3>
        <a:srgbClr val="08CC78"/>
      </a:accent3>
      <a:accent4>
        <a:srgbClr val="F24099"/>
      </a:accent4>
      <a:accent5>
        <a:srgbClr val="828288"/>
      </a:accent5>
      <a:accent6>
        <a:srgbClr val="F56617"/>
      </a:accent6>
      <a:hlink>
        <a:srgbClr val="005DBA"/>
      </a:hlink>
      <a:folHlink>
        <a:srgbClr val="6C606A"/>
      </a:folHlink>
    </a:clrScheme>
    <a:fontScheme name="带状">
      <a:majorFont>
        <a:latin typeface="Corbel"/>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带状">
      <a:fillStyleLst>
        <a:solidFill>
          <a:schemeClr val="phClr"/>
        </a:solidFill>
        <a:gradFill rotWithShape="1">
          <a:gsLst>
            <a:gs pos="0">
              <a:schemeClr val="phClr">
                <a:tint val="65000"/>
                <a:satMod val="120000"/>
                <a:lumMod val="107000"/>
              </a:schemeClr>
            </a:gs>
            <a:gs pos="50000">
              <a:schemeClr val="phClr">
                <a:tint val="70000"/>
                <a:satMod val="124000"/>
                <a:lumMod val="103000"/>
              </a:schemeClr>
            </a:gs>
            <a:gs pos="100000">
              <a:schemeClr val="phClr">
                <a:tint val="85000"/>
                <a:satMod val="120000"/>
                <a:lumMod val="100000"/>
              </a:schemeClr>
            </a:gs>
          </a:gsLst>
          <a:lin ang="5400000" scaled="0"/>
        </a:gradFill>
        <a:gradFill rotWithShape="1">
          <a:gsLst>
            <a:gs pos="0">
              <a:schemeClr val="phClr">
                <a:tint val="85000"/>
                <a:shade val="98000"/>
                <a:satMod val="110000"/>
                <a:lumMod val="103000"/>
              </a:schemeClr>
            </a:gs>
            <a:gs pos="50000">
              <a:schemeClr val="phClr">
                <a:shade val="85000"/>
                <a:satMod val="105000"/>
                <a:lumMod val="100000"/>
              </a:schemeClr>
            </a:gs>
            <a:gs pos="100000">
              <a:schemeClr val="phClr">
                <a:shade val="60000"/>
                <a:satMod val="12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15875" dir="5400000" algn="ctr" rotWithShape="0">
              <a:srgbClr val="000000">
                <a:alpha val="68000"/>
              </a:srgbClr>
            </a:outerShdw>
          </a:effectLst>
        </a:effectStyle>
        <a:effectStyle>
          <a:effectLst>
            <a:outerShdw blurRad="88900" dist="27940" dir="5400000" algn="ctr" rotWithShape="0">
              <a:srgbClr val="000000">
                <a:alpha val="63000"/>
              </a:srgbClr>
            </a:outerShdw>
          </a:effectLst>
        </a:effectStyle>
      </a:effectStyleLst>
      <a:bgFillStyleLst>
        <a:solidFill>
          <a:schemeClr val="phClr"/>
        </a:solidFill>
        <a:blipFill rotWithShape="1">
          <a:blip xmlns:r="http://schemas.openxmlformats.org/officeDocument/2006/relationships" r:embed="rId1">
            <a:duotone>
              <a:schemeClr val="phClr"/>
              <a:schemeClr val="phClr">
                <a:shade val="91000"/>
                <a:satMod val="105000"/>
              </a:schemeClr>
            </a:duotone>
          </a:blip>
          <a:tile tx="0" ty="0" sx="100000" sy="100000" flip="none" algn="tl"/>
        </a:blipFill>
        <a:gradFill rotWithShape="1">
          <a:gsLst>
            <a:gs pos="0">
              <a:schemeClr val="phClr">
                <a:tint val="100000"/>
                <a:shade val="0"/>
                <a:satMod val="100000"/>
              </a:schemeClr>
            </a:gs>
            <a:gs pos="100000">
              <a:schemeClr val="phClr">
                <a:shade val="100000"/>
                <a:satMod val="10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overPageProperties xmlns="http://schemas.microsoft.com/office/2006/coverPageProps">
  <PublishDate/>
  <Abstract>2021年年报</Abstract>
  <CompanyAddress/>
  <CompanyPhone/>
  <CompanyFax/>
  <CompanyEmail/>
</CoverPag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0120769-BFC8-4FFA-BDB6-3FB67EE976AB}">
  <ds:schemaRefs/>
</ds:datastoreItem>
</file>

<file path=customXml/itemProps3.xml><?xml version="1.0" encoding="utf-8"?>
<ds:datastoreItem xmlns:ds="http://schemas.openxmlformats.org/officeDocument/2006/customXml" ds:itemID="{55AF091B-3C7A-41E3-B477-F2FDAA23CFDA}">
  <ds:schemaRefs/>
</ds:datastoreItem>
</file>

<file path=docProps/app.xml><?xml version="1.0" encoding="utf-8"?>
<Properties xmlns="http://schemas.openxmlformats.org/officeDocument/2006/extended-properties" xmlns:vt="http://schemas.openxmlformats.org/officeDocument/2006/docPropsVTypes">
  <Template>Normal</Template>
  <Pages>29</Pages>
  <Words>9359</Words>
  <Characters>9692</Characters>
  <Lines>161</Lines>
  <Paragraphs>45</Paragraphs>
  <TotalTime>5</TotalTime>
  <ScaleCrop>false</ScaleCrop>
  <LinksUpToDate>false</LinksUpToDate>
  <CharactersWithSpaces>10690</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2022-07-15T03:13:00Z</dcterms:created>
  <dc:creator>macbook</dc:creator>
  <cp:lastModifiedBy>Administrator</cp:lastModifiedBy>
  <dcterms:modified xsi:type="dcterms:W3CDTF">2023-01-16T05:50:40Z</dcterms:modified>
  <dc:title>官渡区图书馆</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EEC823642DC347E393D01AB07EBC3A2A</vt:lpwstr>
  </property>
</Properties>
</file>